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A4" w:rsidRDefault="008A0BA4" w:rsidP="008A0BA4">
      <w:pPr>
        <w:spacing w:line="52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8A0BA4" w:rsidRDefault="008A0BA4" w:rsidP="008A0BA4">
      <w:pPr>
        <w:spacing w:line="520" w:lineRule="exact"/>
        <w:rPr>
          <w:rFonts w:ascii="仿宋_GB2312" w:eastAsia="仿宋_GB2312" w:hint="eastAsia"/>
          <w:sz w:val="32"/>
        </w:rPr>
      </w:pPr>
    </w:p>
    <w:p w:rsidR="008A0BA4" w:rsidRDefault="008A0BA4" w:rsidP="008A0BA4">
      <w:pPr>
        <w:spacing w:line="520" w:lineRule="exact"/>
        <w:ind w:firstLine="629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全国公共管理硕士（</w:t>
      </w:r>
      <w:r>
        <w:rPr>
          <w:rFonts w:ascii="仿宋_GB2312" w:eastAsia="仿宋_GB2312"/>
          <w:b/>
          <w:sz w:val="32"/>
        </w:rPr>
        <w:t>MPA</w:t>
      </w:r>
      <w:r>
        <w:rPr>
          <w:rFonts w:ascii="仿宋_GB2312" w:eastAsia="仿宋_GB2312" w:hint="eastAsia"/>
          <w:b/>
          <w:sz w:val="32"/>
        </w:rPr>
        <w:t>）专业学位教育指导委员会章程</w:t>
      </w:r>
    </w:p>
    <w:p w:rsidR="008A0BA4" w:rsidRDefault="008A0BA4" w:rsidP="008A0BA4">
      <w:pPr>
        <w:spacing w:line="520" w:lineRule="exact"/>
        <w:ind w:firstLine="629"/>
        <w:jc w:val="center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/>
          <w:b/>
          <w:sz w:val="24"/>
        </w:rPr>
        <w:t>(200</w:t>
      </w:r>
      <w:r>
        <w:rPr>
          <w:rFonts w:ascii="仿宋_GB2312" w:eastAsia="仿宋_GB2312" w:hint="eastAsia"/>
          <w:b/>
          <w:sz w:val="24"/>
        </w:rPr>
        <w:t>1年2月23日教育指导委员会第一次全体会议讨论通过</w:t>
      </w:r>
      <w:r>
        <w:rPr>
          <w:rFonts w:ascii="仿宋_GB2312" w:eastAsia="仿宋_GB2312"/>
          <w:b/>
          <w:sz w:val="24"/>
        </w:rPr>
        <w:t>)</w:t>
      </w:r>
    </w:p>
    <w:p w:rsidR="008A0BA4" w:rsidRDefault="008A0BA4" w:rsidP="008A0BA4">
      <w:pPr>
        <w:spacing w:line="520" w:lineRule="exact"/>
        <w:ind w:firstLine="629"/>
        <w:jc w:val="center"/>
        <w:rPr>
          <w:rFonts w:ascii="仿宋_GB2312" w:eastAsia="仿宋_GB2312" w:hint="eastAsia"/>
          <w:b/>
          <w:sz w:val="24"/>
        </w:rPr>
      </w:pPr>
    </w:p>
    <w:p w:rsidR="008A0BA4" w:rsidRDefault="008A0BA4" w:rsidP="008A0BA4">
      <w:pPr>
        <w:spacing w:line="520" w:lineRule="exact"/>
        <w:ind w:firstLine="629"/>
        <w:jc w:val="center"/>
        <w:rPr>
          <w:rFonts w:ascii="仿宋_GB2312" w:eastAsia="仿宋_GB2312" w:hint="eastAsia"/>
          <w:sz w:val="28"/>
        </w:rPr>
      </w:pPr>
    </w:p>
    <w:p w:rsidR="008A0BA4" w:rsidRDefault="008A0BA4" w:rsidP="008A0BA4">
      <w:pPr>
        <w:spacing w:line="520" w:lineRule="exact"/>
        <w:jc w:val="center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>第一章  总     则</w:t>
      </w:r>
    </w:p>
    <w:p w:rsidR="008A0BA4" w:rsidRDefault="008A0BA4" w:rsidP="008A0BA4">
      <w:pPr>
        <w:spacing w:line="520" w:lineRule="exact"/>
        <w:jc w:val="center"/>
        <w:rPr>
          <w:rFonts w:ascii="仿宋_GB2312" w:eastAsia="仿宋_GB2312" w:hint="eastAsia"/>
          <w:b/>
          <w:sz w:val="28"/>
        </w:rPr>
      </w:pPr>
    </w:p>
    <w:p w:rsidR="008A0BA4" w:rsidRDefault="008A0BA4" w:rsidP="008A0BA4">
      <w:pPr>
        <w:spacing w:line="520" w:lineRule="exact"/>
        <w:ind w:firstLine="63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第一条  全国公共管理硕士（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）专业学位教育指导委员会（以下简称“指导委员会”）是国务院学位委员会、教育部和人事部（以下简称“一委两部”）指导下的全国公共管理硕士（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）专业学位教育的专业性组织。</w:t>
      </w:r>
    </w:p>
    <w:p w:rsidR="008A0BA4" w:rsidRDefault="008A0BA4" w:rsidP="008A0BA4">
      <w:pPr>
        <w:numPr>
          <w:ilvl w:val="0"/>
          <w:numId w:val="1"/>
        </w:numPr>
        <w:tabs>
          <w:tab w:val="clear" w:pos="1754"/>
          <w:tab w:val="num" w:pos="0"/>
          <w:tab w:val="num" w:pos="360"/>
        </w:tabs>
        <w:spacing w:line="520" w:lineRule="exact"/>
        <w:ind w:left="0" w:firstLine="629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指导委员会的宗旨是：指导、协调全国公共管理硕士（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）专业学位教育活动，推动我国公共管理硕士（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）专业学位教育的改革与发展，促进我国公共管理硕士（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）专业学位教育水平的不断提高。</w:t>
      </w:r>
    </w:p>
    <w:p w:rsidR="008A0BA4" w:rsidRDefault="008A0BA4" w:rsidP="008A0BA4">
      <w:pPr>
        <w:spacing w:line="520" w:lineRule="exact"/>
        <w:rPr>
          <w:rFonts w:ascii="仿宋_GB2312" w:eastAsia="仿宋_GB2312" w:hint="eastAsia"/>
          <w:sz w:val="32"/>
        </w:rPr>
      </w:pPr>
    </w:p>
    <w:p w:rsidR="008A0BA4" w:rsidRDefault="008A0BA4" w:rsidP="008A0BA4">
      <w:pPr>
        <w:spacing w:line="520" w:lineRule="exact"/>
        <w:jc w:val="center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>第二章  组     织</w:t>
      </w:r>
    </w:p>
    <w:p w:rsidR="008A0BA4" w:rsidRDefault="008A0BA4" w:rsidP="008A0BA4">
      <w:pPr>
        <w:spacing w:line="520" w:lineRule="exact"/>
        <w:jc w:val="center"/>
        <w:rPr>
          <w:rFonts w:ascii="仿宋_GB2312" w:eastAsia="仿宋_GB2312" w:hint="eastAsia"/>
          <w:b/>
          <w:sz w:val="32"/>
        </w:rPr>
      </w:pPr>
    </w:p>
    <w:p w:rsidR="008A0BA4" w:rsidRDefault="008A0BA4" w:rsidP="008A0BA4">
      <w:pPr>
        <w:spacing w:line="520" w:lineRule="exact"/>
        <w:ind w:firstLine="629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第三条  指导委员会由30至35人组成，设主任委员1名、副主任委员若干名、秘书长1名、副秘书长1名、顾问若干名。</w:t>
      </w:r>
    </w:p>
    <w:p w:rsidR="008A0BA4" w:rsidRDefault="008A0BA4" w:rsidP="008A0BA4">
      <w:pPr>
        <w:spacing w:line="520" w:lineRule="exact"/>
        <w:ind w:firstLine="629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第四条  指导委员会由有关培养单位推荐的专家和有关部门负责人组成；委员会成员由一委两部选聘。每届聘期为四年，必要时可作适当调整。</w:t>
      </w:r>
    </w:p>
    <w:p w:rsidR="008A0BA4" w:rsidRDefault="008A0BA4" w:rsidP="008A0BA4">
      <w:pPr>
        <w:spacing w:line="520" w:lineRule="exact"/>
        <w:ind w:firstLine="629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第五条  指导委员会一般每年召开一次全体会议，总结、研究和部署指导委员会的工作。视工作需要，经正、副主任委</w:t>
      </w:r>
      <w:r>
        <w:rPr>
          <w:rFonts w:ascii="仿宋_GB2312" w:eastAsia="仿宋_GB2312" w:hint="eastAsia"/>
          <w:sz w:val="32"/>
        </w:rPr>
        <w:lastRenderedPageBreak/>
        <w:t>员同意可决定召开有关工作会议。</w:t>
      </w:r>
    </w:p>
    <w:p w:rsidR="008A0BA4" w:rsidRDefault="008A0BA4" w:rsidP="008A0BA4">
      <w:pPr>
        <w:spacing w:line="520" w:lineRule="exact"/>
        <w:ind w:firstLine="629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第六条  指导委员会下设秘书处。秘书处是指导委员会的日常工作机构，负责完成指导委员会交办的工作。</w:t>
      </w:r>
    </w:p>
    <w:p w:rsidR="008A0BA4" w:rsidRDefault="008A0BA4" w:rsidP="008A0BA4">
      <w:pPr>
        <w:spacing w:line="520" w:lineRule="exact"/>
        <w:ind w:firstLine="63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第七条  指导委员会根据工作需要，设立专门工作委员会或工作小组。</w:t>
      </w:r>
    </w:p>
    <w:p w:rsidR="008A0BA4" w:rsidRDefault="008A0BA4" w:rsidP="008A0BA4">
      <w:pPr>
        <w:spacing w:line="520" w:lineRule="exact"/>
        <w:rPr>
          <w:rFonts w:ascii="仿宋_GB2312" w:eastAsia="仿宋_GB2312" w:hint="eastAsia"/>
          <w:sz w:val="32"/>
        </w:rPr>
      </w:pPr>
    </w:p>
    <w:p w:rsidR="008A0BA4" w:rsidRDefault="008A0BA4" w:rsidP="008A0BA4">
      <w:pPr>
        <w:spacing w:line="520" w:lineRule="exact"/>
        <w:jc w:val="center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 xml:space="preserve">第三章  职     </w:t>
      </w:r>
      <w:proofErr w:type="gramStart"/>
      <w:r>
        <w:rPr>
          <w:rFonts w:ascii="仿宋_GB2312" w:eastAsia="仿宋_GB2312" w:hint="eastAsia"/>
          <w:b/>
          <w:sz w:val="32"/>
        </w:rPr>
        <w:t>责</w:t>
      </w:r>
      <w:proofErr w:type="gramEnd"/>
    </w:p>
    <w:p w:rsidR="008A0BA4" w:rsidRDefault="008A0BA4" w:rsidP="008A0BA4">
      <w:pPr>
        <w:spacing w:line="520" w:lineRule="exact"/>
        <w:jc w:val="center"/>
        <w:rPr>
          <w:rFonts w:ascii="仿宋_GB2312" w:eastAsia="仿宋_GB2312" w:hint="eastAsia"/>
          <w:b/>
          <w:sz w:val="32"/>
        </w:rPr>
      </w:pPr>
    </w:p>
    <w:p w:rsidR="008A0BA4" w:rsidRDefault="008A0BA4" w:rsidP="008A0BA4">
      <w:pPr>
        <w:spacing w:line="520" w:lineRule="exact"/>
        <w:ind w:firstLine="63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第八条  指导委员会的职责是：</w:t>
      </w:r>
    </w:p>
    <w:p w:rsidR="008A0BA4" w:rsidRDefault="008A0BA4" w:rsidP="008A0BA4">
      <w:pPr>
        <w:spacing w:line="52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一、协助国家有关主管部门，制定有关公共管理硕士（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）专业学位教育的发展规划；</w:t>
      </w:r>
    </w:p>
    <w:p w:rsidR="008A0BA4" w:rsidRDefault="008A0BA4" w:rsidP="008A0BA4">
      <w:pPr>
        <w:spacing w:line="52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二、为国家有关主管部门提供公共管理硕士（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）专业学位教育方面的建议和咨询；</w:t>
      </w:r>
    </w:p>
    <w:p w:rsidR="008A0BA4" w:rsidRDefault="008A0BA4" w:rsidP="008A0BA4">
      <w:pPr>
        <w:spacing w:line="520" w:lineRule="exact"/>
        <w:ind w:firstLine="645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三、对公共管理硕士（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）专业学位培养单位的教学活动提供指导和咨询；</w:t>
      </w:r>
    </w:p>
    <w:p w:rsidR="008A0BA4" w:rsidRDefault="008A0BA4" w:rsidP="008A0BA4">
      <w:pPr>
        <w:spacing w:line="520" w:lineRule="exact"/>
        <w:ind w:firstLine="645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四、负责全国公共管理硕士（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）专业学位研究生入学联考的研究、命题等工作；</w:t>
      </w:r>
    </w:p>
    <w:p w:rsidR="008A0BA4" w:rsidRDefault="008A0BA4" w:rsidP="008A0BA4">
      <w:pPr>
        <w:spacing w:line="52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五、推动与协调各培养单位的师资培训工作；</w:t>
      </w:r>
    </w:p>
    <w:p w:rsidR="008A0BA4" w:rsidRDefault="008A0BA4" w:rsidP="008A0BA4">
      <w:pPr>
        <w:spacing w:line="52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六、制定公共管理硕士（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）专业学位教育指导性培养方案和教学大纲；</w:t>
      </w:r>
    </w:p>
    <w:p w:rsidR="008A0BA4" w:rsidRDefault="008A0BA4" w:rsidP="008A0BA4">
      <w:pPr>
        <w:spacing w:line="52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七、评选、推荐优秀公共管理硕士（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）专业学位教材；</w:t>
      </w:r>
    </w:p>
    <w:p w:rsidR="008A0BA4" w:rsidRDefault="008A0BA4" w:rsidP="008A0BA4">
      <w:pPr>
        <w:spacing w:line="52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八、进行全国公共管理硕士（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）专业学位教育评估活动；</w:t>
      </w:r>
    </w:p>
    <w:p w:rsidR="008A0BA4" w:rsidRDefault="008A0BA4" w:rsidP="008A0BA4">
      <w:pPr>
        <w:spacing w:line="52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九、推动有关公共管理硕士（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）专业学位教育的调查和科学研究；</w:t>
      </w:r>
    </w:p>
    <w:p w:rsidR="008A0BA4" w:rsidRDefault="008A0BA4" w:rsidP="008A0BA4">
      <w:pPr>
        <w:spacing w:line="52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十、推动公共管理硕士（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）专业学位培养单位与社会用人部门的联系与协作；</w:t>
      </w:r>
    </w:p>
    <w:p w:rsidR="008A0BA4" w:rsidRDefault="008A0BA4" w:rsidP="008A0BA4">
      <w:pPr>
        <w:spacing w:line="52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lastRenderedPageBreak/>
        <w:t xml:space="preserve">    十一、促进公共管理硕士（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）专业学位教育方面的国际交流与协作；</w:t>
      </w:r>
    </w:p>
    <w:p w:rsidR="008A0BA4" w:rsidRDefault="008A0BA4" w:rsidP="008A0BA4">
      <w:pPr>
        <w:spacing w:line="52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十二、受国家有关主管部门委托，承担与公共管理硕士（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）专业学位教育有关的其它工作。</w:t>
      </w:r>
    </w:p>
    <w:p w:rsidR="008A0BA4" w:rsidRDefault="008A0BA4" w:rsidP="008A0BA4">
      <w:pPr>
        <w:spacing w:line="520" w:lineRule="exact"/>
        <w:rPr>
          <w:rFonts w:ascii="仿宋_GB2312" w:eastAsia="仿宋_GB2312" w:hint="eastAsia"/>
          <w:sz w:val="32"/>
        </w:rPr>
      </w:pPr>
    </w:p>
    <w:p w:rsidR="008A0BA4" w:rsidRDefault="008A0BA4" w:rsidP="008A0BA4">
      <w:pPr>
        <w:spacing w:line="520" w:lineRule="exact"/>
        <w:jc w:val="center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>第四章  经    费</w:t>
      </w:r>
    </w:p>
    <w:p w:rsidR="008A0BA4" w:rsidRDefault="008A0BA4" w:rsidP="008A0BA4">
      <w:pPr>
        <w:spacing w:line="520" w:lineRule="exact"/>
        <w:jc w:val="center"/>
        <w:rPr>
          <w:rFonts w:ascii="仿宋_GB2312" w:eastAsia="仿宋_GB2312"/>
          <w:b/>
          <w:sz w:val="32"/>
        </w:rPr>
      </w:pPr>
    </w:p>
    <w:p w:rsidR="008A0BA4" w:rsidRDefault="008A0BA4" w:rsidP="008A0BA4">
      <w:pPr>
        <w:numPr>
          <w:ilvl w:val="0"/>
          <w:numId w:val="2"/>
        </w:numPr>
        <w:spacing w:line="52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经费来源：</w:t>
      </w:r>
    </w:p>
    <w:p w:rsidR="008A0BA4" w:rsidRDefault="008A0BA4" w:rsidP="008A0BA4">
      <w:pPr>
        <w:numPr>
          <w:ilvl w:val="0"/>
          <w:numId w:val="3"/>
        </w:numPr>
        <w:spacing w:line="52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全国公共管理硕士（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）专业学位培养单位提供的工作经费；</w:t>
      </w:r>
    </w:p>
    <w:p w:rsidR="008A0BA4" w:rsidRDefault="008A0BA4" w:rsidP="008A0BA4">
      <w:pPr>
        <w:numPr>
          <w:ilvl w:val="0"/>
          <w:numId w:val="3"/>
        </w:numPr>
        <w:spacing w:line="52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指导委员会培训、咨询、出版等方面的收入；</w:t>
      </w:r>
    </w:p>
    <w:p w:rsidR="008A0BA4" w:rsidRDefault="008A0BA4" w:rsidP="008A0BA4">
      <w:pPr>
        <w:numPr>
          <w:ilvl w:val="0"/>
          <w:numId w:val="3"/>
        </w:numPr>
        <w:spacing w:line="52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有关机构和友好人士的赞助收入。</w:t>
      </w:r>
    </w:p>
    <w:p w:rsidR="008A0BA4" w:rsidRDefault="008A0BA4" w:rsidP="008A0BA4">
      <w:pPr>
        <w:numPr>
          <w:ilvl w:val="0"/>
          <w:numId w:val="2"/>
        </w:numPr>
        <w:spacing w:line="52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经费管理</w:t>
      </w:r>
    </w:p>
    <w:p w:rsidR="008A0BA4" w:rsidRDefault="008A0BA4" w:rsidP="008A0BA4">
      <w:pPr>
        <w:pStyle w:val="a5"/>
        <w:spacing w:line="520" w:lineRule="exact"/>
        <w:ind w:left="0" w:firstLine="63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一、指导委员会秘书处负责经费收缴、支出的统一协调和管理；</w:t>
      </w:r>
    </w:p>
    <w:p w:rsidR="008A0BA4" w:rsidRDefault="008A0BA4" w:rsidP="008A0BA4">
      <w:pPr>
        <w:pStyle w:val="a5"/>
        <w:spacing w:line="520" w:lineRule="exact"/>
        <w:ind w:left="0" w:firstLine="63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二、指导委员会秘书处每年向指导委员会报告收支计划和收支情况，由指导委员会审议。</w:t>
      </w:r>
    </w:p>
    <w:p w:rsidR="008A0BA4" w:rsidRDefault="008A0BA4" w:rsidP="008A0BA4">
      <w:pPr>
        <w:spacing w:line="520" w:lineRule="exact"/>
        <w:rPr>
          <w:rFonts w:ascii="仿宋_GB2312" w:eastAsia="仿宋_GB2312" w:hint="eastAsia"/>
          <w:sz w:val="32"/>
        </w:rPr>
      </w:pPr>
    </w:p>
    <w:p w:rsidR="008A0BA4" w:rsidRDefault="008A0BA4" w:rsidP="008A0BA4">
      <w:pPr>
        <w:spacing w:line="520" w:lineRule="exact"/>
        <w:jc w:val="center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>第五章  附   则</w:t>
      </w:r>
    </w:p>
    <w:p w:rsidR="008A0BA4" w:rsidRDefault="008A0BA4" w:rsidP="008A0BA4">
      <w:pPr>
        <w:spacing w:line="520" w:lineRule="exact"/>
        <w:jc w:val="center"/>
        <w:rPr>
          <w:rFonts w:ascii="仿宋_GB2312" w:eastAsia="仿宋_GB2312" w:hint="eastAsia"/>
          <w:sz w:val="32"/>
        </w:rPr>
      </w:pPr>
    </w:p>
    <w:p w:rsidR="008A0BA4" w:rsidRDefault="008A0BA4" w:rsidP="008A0BA4">
      <w:pPr>
        <w:numPr>
          <w:ilvl w:val="0"/>
          <w:numId w:val="2"/>
        </w:numPr>
        <w:tabs>
          <w:tab w:val="clear" w:pos="1919"/>
          <w:tab w:val="num" w:pos="0"/>
          <w:tab w:val="num" w:pos="360"/>
        </w:tabs>
        <w:spacing w:line="520" w:lineRule="exact"/>
        <w:ind w:left="0" w:firstLine="629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本章程经指导委员会全体会议通过，自一委两部批准之日起生效。</w:t>
      </w:r>
    </w:p>
    <w:p w:rsidR="008A0BA4" w:rsidRDefault="008A0BA4" w:rsidP="008A0BA4">
      <w:pPr>
        <w:numPr>
          <w:ilvl w:val="0"/>
          <w:numId w:val="2"/>
        </w:numPr>
        <w:tabs>
          <w:tab w:val="clear" w:pos="1919"/>
          <w:tab w:val="num" w:pos="360"/>
        </w:tabs>
        <w:spacing w:line="520" w:lineRule="exact"/>
        <w:ind w:left="0" w:firstLine="629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本章程解释权属于全国公共管理硕士（</w:t>
      </w:r>
      <w:r>
        <w:rPr>
          <w:rFonts w:ascii="仿宋_GB2312" w:eastAsia="仿宋_GB2312"/>
          <w:sz w:val="32"/>
        </w:rPr>
        <w:t>MPA</w:t>
      </w:r>
      <w:r>
        <w:rPr>
          <w:rFonts w:ascii="仿宋_GB2312" w:eastAsia="仿宋_GB2312" w:hint="eastAsia"/>
          <w:sz w:val="32"/>
        </w:rPr>
        <w:t>）专业学位教育指导委员会。</w:t>
      </w:r>
    </w:p>
    <w:p w:rsidR="008A0BA4" w:rsidRDefault="008A0BA4" w:rsidP="008A0BA4">
      <w:pPr>
        <w:spacing w:line="520" w:lineRule="exact"/>
      </w:pPr>
      <w:r>
        <w:rPr>
          <w:rFonts w:ascii="仿宋_GB2312" w:eastAsia="仿宋_GB2312" w:hint="eastAsia"/>
          <w:sz w:val="32"/>
        </w:rPr>
        <w:t xml:space="preserve"> </w:t>
      </w:r>
    </w:p>
    <w:p w:rsidR="00B36592" w:rsidRPr="008A0BA4" w:rsidRDefault="00B36592">
      <w:bookmarkStart w:id="0" w:name="_GoBack"/>
      <w:bookmarkEnd w:id="0"/>
    </w:p>
    <w:sectPr w:rsidR="00B36592" w:rsidRPr="008A0BA4">
      <w:pgSz w:w="11906" w:h="16838"/>
      <w:pgMar w:top="1440" w:right="1797" w:bottom="1440" w:left="1797" w:header="851" w:footer="992" w:gutter="0"/>
      <w:cols w:space="425"/>
      <w:docGrid w:type="linesAndChars" w:linePitch="312" w:charSpace="-3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B6" w:rsidRDefault="00C13EB6" w:rsidP="008A0BA4">
      <w:r>
        <w:separator/>
      </w:r>
    </w:p>
  </w:endnote>
  <w:endnote w:type="continuationSeparator" w:id="0">
    <w:p w:rsidR="00C13EB6" w:rsidRDefault="00C13EB6" w:rsidP="008A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B6" w:rsidRDefault="00C13EB6" w:rsidP="008A0BA4">
      <w:r>
        <w:separator/>
      </w:r>
    </w:p>
  </w:footnote>
  <w:footnote w:type="continuationSeparator" w:id="0">
    <w:p w:rsidR="00C13EB6" w:rsidRDefault="00C13EB6" w:rsidP="008A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369A"/>
    <w:multiLevelType w:val="singleLevel"/>
    <w:tmpl w:val="CEEA6D0C"/>
    <w:lvl w:ilvl="0">
      <w:start w:val="9"/>
      <w:numFmt w:val="japaneseCounting"/>
      <w:lvlText w:val="第%1条"/>
      <w:lvlJc w:val="left"/>
      <w:pPr>
        <w:tabs>
          <w:tab w:val="num" w:pos="1919"/>
        </w:tabs>
        <w:ind w:left="1919" w:hanging="1290"/>
      </w:pPr>
      <w:rPr>
        <w:rFonts w:hint="eastAsia"/>
      </w:rPr>
    </w:lvl>
  </w:abstractNum>
  <w:abstractNum w:abstractNumId="1">
    <w:nsid w:val="4BE12C2D"/>
    <w:multiLevelType w:val="singleLevel"/>
    <w:tmpl w:val="CBB8CCE6"/>
    <w:lvl w:ilvl="0">
      <w:start w:val="2"/>
      <w:numFmt w:val="japaneseCounting"/>
      <w:lvlText w:val="第%1条"/>
      <w:lvlJc w:val="left"/>
      <w:pPr>
        <w:tabs>
          <w:tab w:val="num" w:pos="1754"/>
        </w:tabs>
        <w:ind w:left="1754" w:hanging="1125"/>
      </w:pPr>
      <w:rPr>
        <w:rFonts w:hint="eastAsia"/>
      </w:rPr>
    </w:lvl>
  </w:abstractNum>
  <w:abstractNum w:abstractNumId="2">
    <w:nsid w:val="711B6445"/>
    <w:multiLevelType w:val="singleLevel"/>
    <w:tmpl w:val="04C45748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6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7B"/>
    <w:rsid w:val="008A0BA4"/>
    <w:rsid w:val="00B33E7B"/>
    <w:rsid w:val="00B36592"/>
    <w:rsid w:val="00C1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BA4"/>
    <w:rPr>
      <w:sz w:val="18"/>
      <w:szCs w:val="18"/>
    </w:rPr>
  </w:style>
  <w:style w:type="paragraph" w:styleId="a5">
    <w:name w:val="Body Text Indent"/>
    <w:basedOn w:val="a"/>
    <w:link w:val="Char1"/>
    <w:semiHidden/>
    <w:rsid w:val="008A0BA4"/>
    <w:pPr>
      <w:spacing w:line="480" w:lineRule="auto"/>
      <w:ind w:left="105" w:firstLine="524"/>
    </w:pPr>
    <w:rPr>
      <w:rFonts w:ascii="楷体_GB2312" w:eastAsia="楷体_GB2312"/>
      <w:sz w:val="32"/>
    </w:rPr>
  </w:style>
  <w:style w:type="character" w:customStyle="1" w:styleId="Char1">
    <w:name w:val="正文文本缩进 Char"/>
    <w:basedOn w:val="a0"/>
    <w:link w:val="a5"/>
    <w:semiHidden/>
    <w:rsid w:val="008A0BA4"/>
    <w:rPr>
      <w:rFonts w:ascii="楷体_GB2312" w:eastAsia="楷体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BA4"/>
    <w:rPr>
      <w:sz w:val="18"/>
      <w:szCs w:val="18"/>
    </w:rPr>
  </w:style>
  <w:style w:type="paragraph" w:styleId="a5">
    <w:name w:val="Body Text Indent"/>
    <w:basedOn w:val="a"/>
    <w:link w:val="Char1"/>
    <w:semiHidden/>
    <w:rsid w:val="008A0BA4"/>
    <w:pPr>
      <w:spacing w:line="480" w:lineRule="auto"/>
      <w:ind w:left="105" w:firstLine="524"/>
    </w:pPr>
    <w:rPr>
      <w:rFonts w:ascii="楷体_GB2312" w:eastAsia="楷体_GB2312"/>
      <w:sz w:val="32"/>
    </w:rPr>
  </w:style>
  <w:style w:type="character" w:customStyle="1" w:styleId="Char1">
    <w:name w:val="正文文本缩进 Char"/>
    <w:basedOn w:val="a0"/>
    <w:link w:val="a5"/>
    <w:semiHidden/>
    <w:rsid w:val="008A0BA4"/>
    <w:rPr>
      <w:rFonts w:ascii="楷体_GB2312" w:eastAsia="楷体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傅佩佩</dc:creator>
  <cp:keywords/>
  <dc:description/>
  <cp:lastModifiedBy>傅佩佩</cp:lastModifiedBy>
  <cp:revision>2</cp:revision>
  <dcterms:created xsi:type="dcterms:W3CDTF">2014-01-13T01:22:00Z</dcterms:created>
  <dcterms:modified xsi:type="dcterms:W3CDTF">2014-01-13T01:22:00Z</dcterms:modified>
</cp:coreProperties>
</file>