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40" w:rsidRDefault="00F31B40" w:rsidP="00F31B40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</w:p>
    <w:p w:rsidR="00F31B40" w:rsidRDefault="00F31B40" w:rsidP="00F31B40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河南省24个县政府推进义务教育均衡发展工作得分情况表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6909"/>
        <w:gridCol w:w="540"/>
        <w:gridCol w:w="446"/>
        <w:gridCol w:w="446"/>
        <w:gridCol w:w="446"/>
        <w:gridCol w:w="446"/>
        <w:gridCol w:w="446"/>
        <w:gridCol w:w="446"/>
        <w:gridCol w:w="446"/>
        <w:gridCol w:w="446"/>
        <w:gridCol w:w="236"/>
        <w:gridCol w:w="446"/>
        <w:gridCol w:w="446"/>
        <w:gridCol w:w="446"/>
        <w:gridCol w:w="446"/>
      </w:tblGrid>
      <w:tr w:rsidR="00F31B40" w:rsidTr="00280A4B">
        <w:trPr>
          <w:trHeight w:val="789"/>
          <w:tblHeader/>
          <w:jc w:val="center"/>
        </w:trPr>
        <w:tc>
          <w:tcPr>
            <w:tcW w:w="1088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黑体" w:cs="Times New Roman"/>
                <w:sz w:val="20"/>
                <w:szCs w:val="20"/>
              </w:rPr>
            </w:pPr>
            <w:r>
              <w:rPr>
                <w:rFonts w:eastAsia="黑体" w:cs="Times New Roman"/>
                <w:sz w:val="20"/>
                <w:szCs w:val="20"/>
              </w:rPr>
              <w:t>一级指标</w:t>
            </w: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黑体" w:cs="Times New Roman"/>
                <w:sz w:val="20"/>
                <w:szCs w:val="20"/>
              </w:rPr>
            </w:pPr>
            <w:r>
              <w:rPr>
                <w:rFonts w:eastAsia="黑体" w:cs="Times New Roman"/>
                <w:sz w:val="20"/>
                <w:szCs w:val="20"/>
              </w:rPr>
              <w:t>二级指标</w:t>
            </w:r>
          </w:p>
        </w:tc>
        <w:tc>
          <w:tcPr>
            <w:tcW w:w="540" w:type="dxa"/>
            <w:tcBorders>
              <w:tl2br w:val="single" w:sz="12" w:space="0" w:color="auto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县</w:t>
            </w:r>
          </w:p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分值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兰考县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鲁山县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郏县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滑县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原阳县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封丘县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华龙区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濮阳县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邓州市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南召县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社旗县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新野县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A1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入学机会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20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将进城务工人员随迁子女就学纳入当地教育发展规划，纳入财政保障体系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建立以政府为主导、社会各方面广泛参与的留守儿童关爱体系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三类残疾儿童少年入学率不低于</w:t>
            </w:r>
            <w:r>
              <w:rPr>
                <w:rFonts w:eastAsia="宋体" w:cs="Times New Roman"/>
                <w:sz w:val="20"/>
                <w:szCs w:val="20"/>
              </w:rPr>
              <w:t>80%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4.6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优质普通高中招生名额分配到县域内各初中的比例逐步提高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A2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保障机制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25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建立义务教育均衡发展责任、监督和问责机制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3.9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义务教育经费在财政预算中单列，近三年教育经费做到</w:t>
            </w:r>
            <w:r>
              <w:rPr>
                <w:rFonts w:eastAsia="宋体" w:cs="Times New Roman"/>
                <w:sz w:val="20"/>
                <w:szCs w:val="20"/>
              </w:rPr>
              <w:t>“</w:t>
            </w:r>
            <w:r>
              <w:rPr>
                <w:rFonts w:eastAsia="宋体" w:cs="Times New Roman"/>
                <w:sz w:val="20"/>
                <w:szCs w:val="20"/>
              </w:rPr>
              <w:t>三个增长</w:t>
            </w:r>
            <w:r>
              <w:rPr>
                <w:rFonts w:eastAsia="宋体" w:cs="Times New Roman"/>
                <w:sz w:val="20"/>
                <w:szCs w:val="20"/>
              </w:rPr>
              <w:t>”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9.6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9.6</w:t>
            </w:r>
          </w:p>
        </w:tc>
      </w:tr>
      <w:tr w:rsidR="00F31B40" w:rsidTr="00280A4B">
        <w:trPr>
          <w:trHeight w:hRule="exact" w:val="568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农村税费改革转移支付资金用于义务教育的比例达到</w:t>
            </w:r>
            <w:proofErr w:type="gramStart"/>
            <w:r>
              <w:rPr>
                <w:rFonts w:eastAsia="宋体" w:cs="Times New Roman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A3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教师队伍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35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全面实施义务教育绩效工资制度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beforeLines="25" w:before="78" w:afterLines="25" w:after="78"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义务教育学校学科教师配备合理，生师比达到省定编制标准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adjustRightInd w:val="0"/>
              <w:snapToGrid w:val="0"/>
              <w:spacing w:beforeLines="25" w:before="78" w:afterLines="25" w:after="78" w:line="260" w:lineRule="exact"/>
              <w:ind w:leftChars="-33" w:left="-106" w:rightChars="-33" w:right="-106" w:firstLineChars="0" w:firstLine="0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建立并有效实施了县域内义务教育学校校长和教师定期交流制度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beforeLines="25" w:before="78" w:afterLines="25" w:after="78"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落实教师培训经费，加强教师培训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A4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质量与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管理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20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按照国家规定的义务教育课程方案开齐开足课程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beforeLines="25" w:before="78" w:afterLines="25" w:after="78"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小学、初中巩固率达到</w:t>
            </w:r>
            <w:proofErr w:type="gramStart"/>
            <w:r>
              <w:rPr>
                <w:rFonts w:eastAsia="宋体" w:cs="Times New Roman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/>
                <w:sz w:val="20"/>
                <w:szCs w:val="20"/>
              </w:rPr>
              <w:t>标准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beforeLines="25" w:before="78" w:afterLines="25" w:after="78"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napToGrid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小学、初中学生体质健康及格率达到</w:t>
            </w:r>
            <w:proofErr w:type="gramStart"/>
            <w:r>
              <w:rPr>
                <w:rFonts w:eastAsia="宋体" w:cs="Times New Roman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/>
                <w:sz w:val="20"/>
                <w:szCs w:val="20"/>
              </w:rPr>
              <w:t>标准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2.5</w:t>
            </w:r>
          </w:p>
        </w:tc>
      </w:tr>
      <w:tr w:rsidR="00F31B40" w:rsidTr="00280A4B">
        <w:trPr>
          <w:trHeight w:hRule="exact" w:val="268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beforeLines="25" w:before="78" w:afterLines="25" w:after="78"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napToGrid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义务教育阶段不存在重点校和重点班，公办义务教育择校现象得到基本遏制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1088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beforeLines="25" w:before="78" w:afterLines="25" w:after="78"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napToGrid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</w:t>
            </w:r>
            <w:r>
              <w:rPr>
                <w:rFonts w:eastAsia="宋体" w:cs="Times New Roman"/>
                <w:sz w:val="20"/>
                <w:szCs w:val="20"/>
              </w:rPr>
              <w:t>中小学生过重的课业负担得到有效减轻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F31B40" w:rsidTr="00280A4B">
        <w:trPr>
          <w:trHeight w:hRule="exact" w:val="283"/>
          <w:jc w:val="center"/>
        </w:trPr>
        <w:tc>
          <w:tcPr>
            <w:tcW w:w="799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总分</w:t>
            </w:r>
          </w:p>
        </w:tc>
        <w:tc>
          <w:tcPr>
            <w:tcW w:w="54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89.5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93.5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91.5</w:t>
            </w:r>
          </w:p>
        </w:tc>
        <w:tc>
          <w:tcPr>
            <w:tcW w:w="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89.5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89.5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93.1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92.4</w:t>
            </w:r>
          </w:p>
        </w:tc>
        <w:tc>
          <w:tcPr>
            <w:tcW w:w="4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91</w:t>
            </w:r>
          </w:p>
        </w:tc>
      </w:tr>
    </w:tbl>
    <w:p w:rsidR="00F31B40" w:rsidRDefault="00F31B40" w:rsidP="00F31B40">
      <w:pPr>
        <w:spacing w:line="200" w:lineRule="exact"/>
        <w:ind w:firstLineChars="0" w:firstLine="0"/>
        <w:jc w:val="center"/>
        <w:rPr>
          <w:rFonts w:eastAsia="黑体" w:cs="Times New Roman"/>
          <w:bCs/>
        </w:rPr>
      </w:pPr>
      <w:r>
        <w:rPr>
          <w:rFonts w:eastAsia="黑体" w:cs="Times New Roman" w:hint="eastAsia"/>
          <w:bCs/>
        </w:rPr>
        <w:t xml:space="preserve">  </w:t>
      </w:r>
    </w:p>
    <w:p w:rsidR="00F31B40" w:rsidRDefault="00F31B40" w:rsidP="00F31B40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lastRenderedPageBreak/>
        <w:t>河南省24个县政府推进义务教育均衡发展工作得分情况表（续表）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6960"/>
        <w:gridCol w:w="551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F31B40" w:rsidTr="00280A4B">
        <w:trPr>
          <w:cantSplit/>
          <w:trHeight w:val="1151"/>
          <w:tblHeader/>
          <w:jc w:val="center"/>
        </w:trPr>
        <w:tc>
          <w:tcPr>
            <w:tcW w:w="104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一级指标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二级指标</w:t>
            </w:r>
          </w:p>
        </w:tc>
        <w:tc>
          <w:tcPr>
            <w:tcW w:w="551" w:type="dxa"/>
            <w:tcBorders>
              <w:tl2br w:val="single" w:sz="12" w:space="0" w:color="auto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县</w:t>
            </w:r>
          </w:p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分值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睢阳区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浉</w:t>
            </w:r>
            <w:proofErr w:type="gramEnd"/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河区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平桥区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固始县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川汇区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淮阳区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西华县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太康县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鹿邑县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上蔡县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正阳县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textDirection w:val="tbRlV"/>
            <w:vAlign w:val="center"/>
          </w:tcPr>
          <w:p w:rsidR="00F31B40" w:rsidRDefault="00F31B40" w:rsidP="00280A4B">
            <w:pPr>
              <w:widowControl w:val="0"/>
              <w:spacing w:line="240" w:lineRule="exact"/>
              <w:ind w:firstLineChars="0" w:firstLine="0"/>
              <w:jc w:val="center"/>
              <w:rPr>
                <w:rFonts w:ascii="黑体" w:eastAsia="黑体" w:hAnsi="黑体" w:cs="黑体"/>
                <w:spacing w:val="2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pacing w:val="20"/>
                <w:sz w:val="20"/>
                <w:szCs w:val="20"/>
              </w:rPr>
              <w:t>新蔡县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A1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入学机会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20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将进城务工人员随迁子女就学纳入当地教育发展规划，纳入财政保障体系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建立以政府为主导、社会各方面广泛参与的留守儿童关爱体系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三类残疾儿童少年入学率不低于</w:t>
            </w:r>
            <w:r>
              <w:rPr>
                <w:rFonts w:eastAsia="宋体" w:cs="Times New Roman"/>
                <w:sz w:val="20"/>
                <w:szCs w:val="20"/>
              </w:rPr>
              <w:t>80%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优质普通高中招生名额分配到县域内各初中的比例逐步提高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A2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保障机制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25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建立义务教育均衡发展责任、监督和问责机制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义务教育经费在财政预算中单列，近三年教育经费做到</w:t>
            </w:r>
            <w:r>
              <w:rPr>
                <w:rFonts w:eastAsia="宋体" w:cs="Times New Roman"/>
                <w:sz w:val="20"/>
                <w:szCs w:val="20"/>
              </w:rPr>
              <w:t>“</w:t>
            </w:r>
            <w:r>
              <w:rPr>
                <w:rFonts w:eastAsia="宋体" w:cs="Times New Roman"/>
                <w:sz w:val="20"/>
                <w:szCs w:val="20"/>
              </w:rPr>
              <w:t>三个增长</w:t>
            </w:r>
            <w:r>
              <w:rPr>
                <w:rFonts w:eastAsia="宋体" w:cs="Times New Roman"/>
                <w:sz w:val="20"/>
                <w:szCs w:val="20"/>
              </w:rPr>
              <w:t>”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5.9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</w:tr>
      <w:tr w:rsidR="00F31B40" w:rsidTr="00280A4B">
        <w:trPr>
          <w:cantSplit/>
          <w:trHeight w:hRule="exact" w:val="5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7.9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农村税费改革转移支付资金用于义务教育的比例达到</w:t>
            </w:r>
            <w:proofErr w:type="gramStart"/>
            <w:r>
              <w:rPr>
                <w:rFonts w:eastAsia="宋体" w:cs="Times New Roman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/>
                <w:sz w:val="20"/>
                <w:szCs w:val="20"/>
              </w:rPr>
              <w:t>要求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A3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教师队伍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35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全面实施义务教育绩效工资制度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义务教育学校学科教师配备合理，生师比达到省定编制标准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建立并有效实施了县域内义务教育学校校长和教师定期交流制度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落实教师培训经费，加强教师培训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5.6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A4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质量与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管理</w:t>
            </w:r>
          </w:p>
          <w:p w:rsidR="00F31B40" w:rsidRDefault="00F31B40" w:rsidP="00F31B40">
            <w:pPr>
              <w:adjustRightInd w:val="0"/>
              <w:snapToGrid w:val="0"/>
              <w:spacing w:line="260" w:lineRule="exact"/>
              <w:ind w:leftChars="-33" w:left="-106" w:rightChars="-33" w:right="-106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20</w:t>
            </w: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分）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1.</w:t>
            </w:r>
            <w:r>
              <w:rPr>
                <w:rFonts w:eastAsia="宋体" w:cs="Times New Roman"/>
                <w:sz w:val="20"/>
                <w:szCs w:val="20"/>
              </w:rPr>
              <w:t>按照国家规定的义务教育课程方案开齐开足课程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2.</w:t>
            </w:r>
            <w:r>
              <w:rPr>
                <w:rFonts w:eastAsia="宋体" w:cs="Times New Roman"/>
                <w:sz w:val="20"/>
                <w:szCs w:val="20"/>
              </w:rPr>
              <w:t>小学、初中巩固率达到</w:t>
            </w:r>
            <w:proofErr w:type="gramStart"/>
            <w:r>
              <w:rPr>
                <w:rFonts w:eastAsia="宋体" w:cs="Times New Roman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/>
                <w:sz w:val="20"/>
                <w:szCs w:val="20"/>
              </w:rPr>
              <w:t>标准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3.</w:t>
            </w:r>
            <w:r>
              <w:rPr>
                <w:rFonts w:eastAsia="宋体" w:cs="Times New Roman"/>
                <w:sz w:val="20"/>
                <w:szCs w:val="20"/>
              </w:rPr>
              <w:t>小学、初中学生体质健康及格率达到</w:t>
            </w:r>
            <w:proofErr w:type="gramStart"/>
            <w:r>
              <w:rPr>
                <w:rFonts w:eastAsia="宋体" w:cs="Times New Roman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/>
                <w:sz w:val="20"/>
                <w:szCs w:val="20"/>
              </w:rPr>
              <w:t>标准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4.</w:t>
            </w:r>
            <w:r>
              <w:rPr>
                <w:rFonts w:eastAsia="宋体" w:cs="Times New Roman"/>
                <w:sz w:val="20"/>
                <w:szCs w:val="20"/>
              </w:rPr>
              <w:t>义务教育阶段不存在重点校和重点班，公办义务教育择校现象得到基本遏制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1046" w:type="dxa"/>
            <w:vMerge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33" w:left="-106" w:rightChars="-33" w:right="-106" w:firstLineChars="0" w:firstLine="0"/>
              <w:jc w:val="left"/>
              <w:rPr>
                <w:rFonts w:eastAsia="宋体" w:cs="Times New Roman"/>
                <w:b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 w:rsidR="00F31B40" w:rsidRDefault="00F31B40" w:rsidP="00280A4B">
            <w:pPr>
              <w:widowControl w:val="0"/>
              <w:spacing w:line="260" w:lineRule="exact"/>
              <w:ind w:left="200" w:hangingChars="100" w:hanging="200"/>
              <w:jc w:val="left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5.</w:t>
            </w:r>
            <w:r>
              <w:rPr>
                <w:rFonts w:eastAsia="宋体" w:cs="Times New Roman"/>
                <w:sz w:val="20"/>
                <w:szCs w:val="20"/>
              </w:rPr>
              <w:t>中小学生过重的课业负担得到有效减轻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F31B40" w:rsidRDefault="00F31B40" w:rsidP="00F31B40">
            <w:pPr>
              <w:widowControl w:val="0"/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F31B40" w:rsidTr="00280A4B">
        <w:trPr>
          <w:cantSplit/>
          <w:trHeight w:hRule="exact" w:val="283"/>
          <w:jc w:val="center"/>
        </w:trPr>
        <w:tc>
          <w:tcPr>
            <w:tcW w:w="8006" w:type="dxa"/>
            <w:gridSpan w:val="2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pacing w:line="260" w:lineRule="exact"/>
              <w:ind w:leftChars="-28" w:left="-90" w:rightChars="-43" w:right="-138"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总分</w:t>
            </w:r>
          </w:p>
        </w:tc>
        <w:tc>
          <w:tcPr>
            <w:tcW w:w="551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90.1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92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86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91.5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86.5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88.7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91.3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85.3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88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88.4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91</w:t>
            </w:r>
          </w:p>
        </w:tc>
        <w:tc>
          <w:tcPr>
            <w:tcW w:w="44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 w:rsidR="00F31B40" w:rsidRDefault="00F31B40" w:rsidP="00F31B40">
            <w:pPr>
              <w:snapToGrid w:val="0"/>
              <w:spacing w:line="260" w:lineRule="exact"/>
              <w:ind w:leftChars="-40" w:left="-128" w:rightChars="-42" w:right="-134"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93.1</w:t>
            </w:r>
          </w:p>
        </w:tc>
      </w:tr>
    </w:tbl>
    <w:p w:rsidR="00E76E80" w:rsidRDefault="00F31B40" w:rsidP="00F31B40">
      <w:pPr>
        <w:ind w:firstLine="640"/>
      </w:pPr>
      <w:bookmarkStart w:id="0" w:name="_GoBack"/>
      <w:bookmarkEnd w:id="0"/>
    </w:p>
    <w:sectPr w:rsidR="00E76E80" w:rsidSect="00F31B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0"/>
    <w:rsid w:val="0010107E"/>
    <w:rsid w:val="00494EC8"/>
    <w:rsid w:val="00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31B40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F31B40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F31B40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31B40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F31B40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F31B4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F31B40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31B40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F31B40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F31B40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31B40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F31B40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F31B4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F31B40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CHINA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2020-12-18T08:01:00Z</dcterms:created>
  <dcterms:modified xsi:type="dcterms:W3CDTF">2020-12-18T08:03:00Z</dcterms:modified>
</cp:coreProperties>
</file>