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76E" w:rsidRDefault="001E576E" w:rsidP="001E576E">
      <w:pPr>
        <w:adjustRightInd w:val="0"/>
        <w:snapToGrid w:val="0"/>
        <w:spacing w:afterLines="50" w:after="156" w:line="440" w:lineRule="exact"/>
        <w:ind w:firstLineChars="200" w:firstLine="560"/>
        <w:jc w:val="center"/>
        <w:rPr>
          <w:rFonts w:ascii="黑体" w:eastAsia="黑体" w:hAnsi="黑体"/>
          <w:kern w:val="0"/>
          <w:sz w:val="28"/>
          <w:szCs w:val="28"/>
        </w:rPr>
      </w:pPr>
      <w:bookmarkStart w:id="0" w:name="_GoBack"/>
      <w:r>
        <w:rPr>
          <w:rFonts w:ascii="黑体" w:eastAsia="黑体" w:cs="黑体" w:hint="eastAsia"/>
          <w:sz w:val="28"/>
          <w:szCs w:val="28"/>
        </w:rPr>
        <w:t>表3  湖南省</w:t>
      </w:r>
      <w:r>
        <w:rPr>
          <w:rFonts w:ascii="黑体" w:eastAsia="黑体" w:cs="黑体"/>
          <w:sz w:val="28"/>
          <w:szCs w:val="28"/>
        </w:rPr>
        <w:t>12</w:t>
      </w:r>
      <w:r>
        <w:rPr>
          <w:rFonts w:ascii="黑体" w:eastAsia="黑体" w:cs="黑体" w:hint="eastAsia"/>
          <w:sz w:val="28"/>
          <w:szCs w:val="28"/>
        </w:rPr>
        <w:t>个</w:t>
      </w:r>
      <w:r w:rsidRPr="006E12C3">
        <w:rPr>
          <w:rFonts w:ascii="黑体" w:eastAsia="黑体" w:cs="黑体" w:hint="eastAsia"/>
          <w:sz w:val="28"/>
          <w:szCs w:val="28"/>
        </w:rPr>
        <w:t>县</w:t>
      </w:r>
      <w:r w:rsidRPr="000F581C">
        <w:rPr>
          <w:rFonts w:ascii="黑体" w:eastAsia="黑体" w:hAnsi="黑体" w:cs="黑体" w:hint="eastAsia"/>
          <w:kern w:val="0"/>
          <w:sz w:val="28"/>
          <w:szCs w:val="28"/>
        </w:rPr>
        <w:t>政府推进义务教育均衡发展工作得分情况表</w:t>
      </w:r>
    </w:p>
    <w:tbl>
      <w:tblPr>
        <w:tblW w:w="13989" w:type="dxa"/>
        <w:jc w:val="center"/>
        <w:tblLook w:val="04A0" w:firstRow="1" w:lastRow="0" w:firstColumn="1" w:lastColumn="0" w:noHBand="0" w:noVBand="1"/>
      </w:tblPr>
      <w:tblGrid>
        <w:gridCol w:w="1016"/>
        <w:gridCol w:w="4251"/>
        <w:gridCol w:w="845"/>
        <w:gridCol w:w="618"/>
        <w:gridCol w:w="660"/>
        <w:gridCol w:w="660"/>
        <w:gridCol w:w="660"/>
        <w:gridCol w:w="660"/>
        <w:gridCol w:w="660"/>
        <w:gridCol w:w="659"/>
        <w:gridCol w:w="660"/>
        <w:gridCol w:w="660"/>
        <w:gridCol w:w="660"/>
        <w:gridCol w:w="660"/>
        <w:gridCol w:w="660"/>
      </w:tblGrid>
      <w:tr w:rsidR="001E576E" w:rsidRPr="00A62EC6" w:rsidTr="004D560A">
        <w:trPr>
          <w:trHeight w:val="312"/>
          <w:tblHeader/>
          <w:jc w:val="center"/>
        </w:trPr>
        <w:tc>
          <w:tcPr>
            <w:tcW w:w="1016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bookmarkEnd w:id="0"/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指</w:t>
            </w:r>
            <w:r w:rsidRPr="00A62EC6"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Pr="00A62EC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4251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评</w:t>
            </w:r>
            <w:r w:rsidRPr="00A62EC6"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proofErr w:type="gramStart"/>
            <w:r w:rsidRPr="00A62EC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估</w:t>
            </w:r>
            <w:proofErr w:type="gramEnd"/>
            <w:r w:rsidRPr="00A62EC6"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Pr="00A62EC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标</w:t>
            </w:r>
            <w:r w:rsidRPr="00A62EC6"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Pr="00A62EC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准</w:t>
            </w:r>
          </w:p>
        </w:tc>
        <w:tc>
          <w:tcPr>
            <w:tcW w:w="845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tr2bl w:val="single" w:sz="8" w:space="0" w:color="4BACC6"/>
            </w:tcBorders>
            <w:shd w:val="clear" w:color="000000" w:fill="D2EAF1"/>
            <w:vAlign w:val="center"/>
          </w:tcPr>
          <w:p w:rsidR="001E576E" w:rsidRDefault="001E576E" w:rsidP="004D560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7DB7FB" wp14:editId="3D07E13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-4445</wp:posOffset>
                      </wp:positionV>
                      <wp:extent cx="523875" cy="904875"/>
                      <wp:effectExtent l="9525" t="6350" r="9525" b="12700"/>
                      <wp:wrapNone/>
                      <wp:docPr id="1" name="直接箭头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23875" cy="904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1" o:spid="_x0000_s1026" type="#_x0000_t32" style="position:absolute;left:0;text-align:left;margin-left:-5.45pt;margin-top:-.35pt;width:41.25pt;height:71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sqnTAIAAFUEAAAOAAAAZHJzL2Uyb0RvYy54bWysVM2O0zAQviPxDlbubZJu+rPRtiuUtHBY&#10;oNIuD+DaTmPh2JbtNq0Qr8ALrMQJOAGnvfM0sDwGY6dbWLggxMUZ2zPffDPzOWfnu0agLTOWKzmN&#10;0n4SISaJolyup9GLq0VvEiHrsKRYKMmm0Z7Z6Hz28MFZq3M2ULUSlBkEINLmrZ5GtXM6j2NLatZg&#10;21eaSbislGmwg61Zx9TgFtAbEQ+SZBS3ylBtFGHWwmnZXUazgF9VjLjnVWWZQ2IaATcXVhPWlV/j&#10;2RnO1wbrmpMDDfwPLBrMJSQ9QpXYYbQx/A+ohhOjrKpcn6gmVlXFCQs1QDVp8ls1lzXWLNQCzbH6&#10;2Cb7/2DJs+3SIE5hdhGSuIER3V7ffHvz/vbzp6/vbr5/eevtjx9Q6lvVaptDRCGXxhdLdvJSXyjy&#10;0iKpihrLNQuUr/YacEJEfC/Eb6yGhKv2qaLggzdOhb7tKtOgSnD9xAd6cOgN2oVB7Y+DYjuHCBwO&#10;ByeT8TBCBK5Ok8zbwC7GuYfxwdpY95ipBnljGllnMF/XrlBSgiSU6VLg7YV1XeBdgA+WasGFCMoQ&#10;ErWQYjgYBk5WCU79pXezZr0qhEFb7LWVjJMiyAlY3HMzaiNpAKsZpvOD7TAXnQ3+Qno8KA7oHKxO&#10;PK9Ok9P5ZD7JetlgNO9lSVn2Hi2KrDdapONheVIWRZm+9tTSLK85pUx6dndCTrO/E8rhSXUSPEr5&#10;2Ib4PnpoNJC9+wbSYc5+tJ1IVorul8a31o8ctBucD+/MP45f98Hr599g9gMAAP//AwBQSwMEFAAG&#10;AAgAAAAhAG1XhN7fAAAACAEAAA8AAABkcnMvZG93bnJldi54bWxMj8FOwzAMhu9IvENkJC5oS4tQ&#10;15WmE0xiHDhMDKTtmDWmqdY4VZNu5e0xJ7jZ+j/9/lyuJteJMw6h9aQgnScgkGpvWmoUfH68zHIQ&#10;IWoyuvOECr4xwKq6vip1YfyF3vG8i43gEgqFVmBj7AspQ23R6TD3PRJnX35wOvI6NNIM+sLlrpP3&#10;SZJJp1viC1b3uLZYn3ajU/D2/Hpw2eHkyY77zfoOt5RvpFK3N9PTI4iIU/yD4Vef1aFip6MfyQTR&#10;KZilyZJRHhYgOF+kGYgjcw9pDrIq5f8Hqh8AAAD//wMAUEsBAi0AFAAGAAgAAAAhALaDOJL+AAAA&#10;4QEAABMAAAAAAAAAAAAAAAAAAAAAAFtDb250ZW50X1R5cGVzXS54bWxQSwECLQAUAAYACAAAACEA&#10;OP0h/9YAAACUAQAACwAAAAAAAAAAAAAAAAAvAQAAX3JlbHMvLnJlbHNQSwECLQAUAAYACAAAACEA&#10;DjrKp0wCAABVBAAADgAAAAAAAAAAAAAAAAAuAgAAZHJzL2Uyb0RvYy54bWxQSwECLQAUAAYACAAA&#10;ACEAbVeE3t8AAAAIAQAADwAAAAAAAAAAAAAAAACmBAAAZHJzL2Rvd25yZXYueG1sUEsFBgAAAAAE&#10;AAQA8wAAALIFAAAAAA==&#10;" strokecolor="#0070c0"/>
                  </w:pict>
                </mc:Fallback>
              </mc:AlternateContent>
            </w:r>
            <w:r w:rsidRPr="00A62EC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县</w:t>
            </w:r>
          </w:p>
          <w:p w:rsidR="001E576E" w:rsidRDefault="001E576E" w:rsidP="004D560A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1E576E" w:rsidRDefault="001E576E" w:rsidP="004D56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1E576E" w:rsidRDefault="001E576E" w:rsidP="004D560A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</w:t>
            </w:r>
          </w:p>
          <w:p w:rsidR="001E576E" w:rsidRPr="00A62EC6" w:rsidRDefault="001E576E" w:rsidP="004D560A">
            <w:pPr>
              <w:widowControl/>
              <w:jc w:val="right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值</w:t>
            </w:r>
          </w:p>
        </w:tc>
        <w:tc>
          <w:tcPr>
            <w:tcW w:w="618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石峰区</w:t>
            </w:r>
          </w:p>
        </w:tc>
        <w:tc>
          <w:tcPr>
            <w:tcW w:w="66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株洲县</w:t>
            </w:r>
          </w:p>
        </w:tc>
        <w:tc>
          <w:tcPr>
            <w:tcW w:w="66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攸县</w:t>
            </w:r>
          </w:p>
        </w:tc>
        <w:tc>
          <w:tcPr>
            <w:tcW w:w="66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A62EC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蒸湘区</w:t>
            </w:r>
            <w:proofErr w:type="gramEnd"/>
          </w:p>
        </w:tc>
        <w:tc>
          <w:tcPr>
            <w:tcW w:w="66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A62EC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珠晖区</w:t>
            </w:r>
            <w:proofErr w:type="gramEnd"/>
          </w:p>
        </w:tc>
        <w:tc>
          <w:tcPr>
            <w:tcW w:w="66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雁峰区</w:t>
            </w:r>
          </w:p>
        </w:tc>
        <w:tc>
          <w:tcPr>
            <w:tcW w:w="659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石鼓区</w:t>
            </w:r>
          </w:p>
        </w:tc>
        <w:tc>
          <w:tcPr>
            <w:tcW w:w="66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岳阳楼区</w:t>
            </w:r>
          </w:p>
        </w:tc>
        <w:tc>
          <w:tcPr>
            <w:tcW w:w="66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云溪区</w:t>
            </w:r>
          </w:p>
        </w:tc>
        <w:tc>
          <w:tcPr>
            <w:tcW w:w="66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武陵区</w:t>
            </w:r>
          </w:p>
        </w:tc>
        <w:tc>
          <w:tcPr>
            <w:tcW w:w="66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北湖区</w:t>
            </w:r>
          </w:p>
        </w:tc>
        <w:tc>
          <w:tcPr>
            <w:tcW w:w="66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鹤城区</w:t>
            </w:r>
          </w:p>
        </w:tc>
      </w:tr>
      <w:tr w:rsidR="001E576E" w:rsidRPr="00A62EC6" w:rsidTr="004D560A">
        <w:trPr>
          <w:trHeight w:val="1105"/>
          <w:tblHeader/>
          <w:jc w:val="center"/>
        </w:trPr>
        <w:tc>
          <w:tcPr>
            <w:tcW w:w="1016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E576E" w:rsidRPr="00A62EC6" w:rsidRDefault="001E576E" w:rsidP="004D560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1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E576E" w:rsidRPr="00A62EC6" w:rsidRDefault="001E576E" w:rsidP="004D560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tr2bl w:val="single" w:sz="8" w:space="0" w:color="4BACC6"/>
            </w:tcBorders>
            <w:vAlign w:val="center"/>
          </w:tcPr>
          <w:p w:rsidR="001E576E" w:rsidRPr="00A62EC6" w:rsidRDefault="001E576E" w:rsidP="004D560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E576E" w:rsidRPr="00A62EC6" w:rsidRDefault="001E576E" w:rsidP="004D560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E576E" w:rsidRPr="00A62EC6" w:rsidRDefault="001E576E" w:rsidP="004D560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E576E" w:rsidRPr="00A62EC6" w:rsidRDefault="001E576E" w:rsidP="004D560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E576E" w:rsidRPr="00A62EC6" w:rsidRDefault="001E576E" w:rsidP="004D560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E576E" w:rsidRPr="00A62EC6" w:rsidRDefault="001E576E" w:rsidP="004D560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E576E" w:rsidRPr="00A62EC6" w:rsidRDefault="001E576E" w:rsidP="004D560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E576E" w:rsidRPr="00A62EC6" w:rsidRDefault="001E576E" w:rsidP="004D560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E576E" w:rsidRPr="00A62EC6" w:rsidRDefault="001E576E" w:rsidP="004D560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E576E" w:rsidRPr="00A62EC6" w:rsidRDefault="001E576E" w:rsidP="004D560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E576E" w:rsidRPr="00A62EC6" w:rsidRDefault="001E576E" w:rsidP="004D560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E576E" w:rsidRPr="00A62EC6" w:rsidRDefault="001E576E" w:rsidP="004D560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E576E" w:rsidRPr="00A62EC6" w:rsidRDefault="001E576E" w:rsidP="004D560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1E576E" w:rsidRPr="00A62EC6" w:rsidTr="004D560A">
        <w:trPr>
          <w:trHeight w:val="510"/>
          <w:jc w:val="center"/>
        </w:trPr>
        <w:tc>
          <w:tcPr>
            <w:tcW w:w="1016" w:type="dxa"/>
            <w:vMerge w:val="restart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Default="001E576E" w:rsidP="004D56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br/>
            </w: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入学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br/>
            </w: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机会</w:t>
            </w:r>
          </w:p>
          <w:p w:rsidR="001E576E" w:rsidRPr="00A62EC6" w:rsidRDefault="001E576E" w:rsidP="004D560A">
            <w:pPr>
              <w:widowControl/>
              <w:ind w:rightChars="-48" w:right="-101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（20分）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B1.将义务教育均衡发展学纳入县（市、区）经济社会发展规划。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E576E" w:rsidRPr="00A62EC6" w:rsidTr="004D560A">
        <w:trPr>
          <w:trHeight w:val="510"/>
          <w:jc w:val="center"/>
        </w:trPr>
        <w:tc>
          <w:tcPr>
            <w:tcW w:w="1016" w:type="dxa"/>
            <w:vMerge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E576E" w:rsidRPr="00A62EC6" w:rsidRDefault="001E576E" w:rsidP="004D56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B2.大班额问题得到初步解决。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E576E" w:rsidRPr="00A62EC6" w:rsidTr="004D560A">
        <w:trPr>
          <w:trHeight w:val="510"/>
          <w:jc w:val="center"/>
        </w:trPr>
        <w:tc>
          <w:tcPr>
            <w:tcW w:w="1016" w:type="dxa"/>
            <w:vMerge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E576E" w:rsidRPr="00A62EC6" w:rsidRDefault="001E576E" w:rsidP="004D56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B3.将进城务工人员随迁子女就学纳入当地教育发展规划，纳入财政保障体系。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E576E" w:rsidRPr="00A62EC6" w:rsidTr="004D560A">
        <w:trPr>
          <w:trHeight w:val="510"/>
          <w:jc w:val="center"/>
        </w:trPr>
        <w:tc>
          <w:tcPr>
            <w:tcW w:w="1016" w:type="dxa"/>
            <w:vMerge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E576E" w:rsidRPr="00A62EC6" w:rsidRDefault="001E576E" w:rsidP="004D56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B4.建立以政府为主导、社会各方面广泛参与的留守儿童关爱体系。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E576E" w:rsidRPr="00A62EC6" w:rsidTr="004D560A">
        <w:trPr>
          <w:trHeight w:val="510"/>
          <w:jc w:val="center"/>
        </w:trPr>
        <w:tc>
          <w:tcPr>
            <w:tcW w:w="1016" w:type="dxa"/>
            <w:vMerge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E576E" w:rsidRPr="00A62EC6" w:rsidRDefault="001E576E" w:rsidP="004D56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B5.6-14岁三类残疾人口义务教育入学率达80%以上。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E576E" w:rsidRPr="00A62EC6" w:rsidTr="004D560A">
        <w:trPr>
          <w:trHeight w:val="510"/>
          <w:jc w:val="center"/>
        </w:trPr>
        <w:tc>
          <w:tcPr>
            <w:tcW w:w="1016" w:type="dxa"/>
            <w:vMerge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E576E" w:rsidRPr="00A62EC6" w:rsidRDefault="001E576E" w:rsidP="004D56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B6.省、市示范性普通高中招生名额30%以上按初中毕业生比例分配到县域内各初中，并逐步提高。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E576E" w:rsidRPr="00A62EC6" w:rsidTr="004D560A">
        <w:trPr>
          <w:trHeight w:val="510"/>
          <w:jc w:val="center"/>
        </w:trPr>
        <w:tc>
          <w:tcPr>
            <w:tcW w:w="1016" w:type="dxa"/>
            <w:vMerge w:val="restart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Default="001E576E" w:rsidP="004D56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A2.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br/>
            </w: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保障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br/>
            </w: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机制</w:t>
            </w:r>
          </w:p>
          <w:p w:rsidR="001E576E" w:rsidRPr="00A62EC6" w:rsidRDefault="001E576E" w:rsidP="004D560A">
            <w:pPr>
              <w:widowControl/>
              <w:ind w:rightChars="-48" w:right="-101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（25分）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B7.建立义务教育均衡发展责任、监督和问责机制。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E576E" w:rsidRPr="00A62EC6" w:rsidTr="004D560A">
        <w:trPr>
          <w:trHeight w:val="510"/>
          <w:jc w:val="center"/>
        </w:trPr>
        <w:tc>
          <w:tcPr>
            <w:tcW w:w="1016" w:type="dxa"/>
            <w:vMerge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E576E" w:rsidRPr="00A62EC6" w:rsidRDefault="001E576E" w:rsidP="004D56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B8.义务教育经费在财政预算中单列，近三年教育经费做到“三个增长”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1E576E" w:rsidRPr="00A62EC6" w:rsidTr="004D560A">
        <w:trPr>
          <w:trHeight w:val="510"/>
          <w:jc w:val="center"/>
        </w:trPr>
        <w:tc>
          <w:tcPr>
            <w:tcW w:w="1016" w:type="dxa"/>
            <w:vMerge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E576E" w:rsidRPr="00A62EC6" w:rsidRDefault="001E576E" w:rsidP="004D56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B9.推进合格学校建设，制定并有效施了薄弱学校改造计划，财政性教育经费向薄弱学校倾斜。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E576E" w:rsidRPr="00A62EC6" w:rsidTr="004D560A">
        <w:trPr>
          <w:trHeight w:val="510"/>
          <w:jc w:val="center"/>
        </w:trPr>
        <w:tc>
          <w:tcPr>
            <w:tcW w:w="1016" w:type="dxa"/>
            <w:vMerge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E576E" w:rsidRPr="00A62EC6" w:rsidRDefault="001E576E" w:rsidP="004D56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B10.农村税费改革转移支付资金用于义务教育的比例达到60%以上。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1E576E" w:rsidRPr="00A62EC6" w:rsidTr="004D560A">
        <w:trPr>
          <w:trHeight w:val="510"/>
          <w:jc w:val="center"/>
        </w:trPr>
        <w:tc>
          <w:tcPr>
            <w:tcW w:w="1016" w:type="dxa"/>
            <w:vMerge w:val="restart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Default="001E576E" w:rsidP="004D56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A3.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br/>
            </w: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br/>
            </w: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队伍</w:t>
            </w:r>
          </w:p>
          <w:p w:rsidR="001E576E" w:rsidRPr="00A62EC6" w:rsidRDefault="001E576E" w:rsidP="004D560A">
            <w:pPr>
              <w:widowControl/>
              <w:ind w:rightChars="-48" w:right="-101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（35分）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B11.全面实施义务教育绩效工资制度，教师医疗保险、住房公积金等全额纳入地方财政预算，并按时足额发放。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E576E" w:rsidRPr="00A62EC6" w:rsidTr="004D560A">
        <w:trPr>
          <w:trHeight w:val="510"/>
          <w:jc w:val="center"/>
        </w:trPr>
        <w:tc>
          <w:tcPr>
            <w:tcW w:w="1016" w:type="dxa"/>
            <w:vMerge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E576E" w:rsidRPr="00A62EC6" w:rsidRDefault="001E576E" w:rsidP="004D56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B12.义务教育学校学科教师配备合理，师生比达到省定编制标准。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5.5</w:t>
            </w:r>
          </w:p>
        </w:tc>
      </w:tr>
      <w:tr w:rsidR="001E576E" w:rsidRPr="00A62EC6" w:rsidTr="004D560A">
        <w:trPr>
          <w:trHeight w:val="510"/>
          <w:jc w:val="center"/>
        </w:trPr>
        <w:tc>
          <w:tcPr>
            <w:tcW w:w="1016" w:type="dxa"/>
            <w:vMerge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E576E" w:rsidRPr="00A62EC6" w:rsidRDefault="001E576E" w:rsidP="004D56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B13.建立并有效实施了县域内义务教育学校校长和教师定期交流制度。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E576E" w:rsidRPr="00A62EC6" w:rsidTr="004D560A">
        <w:trPr>
          <w:trHeight w:val="510"/>
          <w:jc w:val="center"/>
        </w:trPr>
        <w:tc>
          <w:tcPr>
            <w:tcW w:w="1016" w:type="dxa"/>
            <w:vMerge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E576E" w:rsidRPr="00A62EC6" w:rsidRDefault="001E576E" w:rsidP="004D56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B14.落实教师培训经费，加强教师培。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E576E" w:rsidRPr="00A62EC6" w:rsidTr="004D560A">
        <w:trPr>
          <w:trHeight w:val="510"/>
          <w:jc w:val="center"/>
        </w:trPr>
        <w:tc>
          <w:tcPr>
            <w:tcW w:w="1016" w:type="dxa"/>
            <w:vMerge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E576E" w:rsidRPr="00A62EC6" w:rsidRDefault="001E576E" w:rsidP="004D56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B15.建立和完善教师补充机。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E576E" w:rsidRPr="00A62EC6" w:rsidTr="004D560A">
        <w:trPr>
          <w:trHeight w:val="510"/>
          <w:jc w:val="center"/>
        </w:trPr>
        <w:tc>
          <w:tcPr>
            <w:tcW w:w="1016" w:type="dxa"/>
            <w:vMerge w:val="restart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Default="001E576E" w:rsidP="004D560A">
            <w:pPr>
              <w:widowControl/>
              <w:ind w:rightChars="-48" w:right="-101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A4.质量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br/>
            </w: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与管理</w:t>
            </w:r>
          </w:p>
          <w:p w:rsidR="001E576E" w:rsidRPr="00A62EC6" w:rsidRDefault="001E576E" w:rsidP="004D560A">
            <w:pPr>
              <w:widowControl/>
              <w:ind w:rightChars="-48" w:right="-101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（20分）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B16.按照国家规定的义务教育课程方案开齐开足课程。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E576E" w:rsidRPr="00A62EC6" w:rsidTr="004D560A">
        <w:trPr>
          <w:trHeight w:val="510"/>
          <w:jc w:val="center"/>
        </w:trPr>
        <w:tc>
          <w:tcPr>
            <w:tcW w:w="1016" w:type="dxa"/>
            <w:vMerge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E576E" w:rsidRPr="00A62EC6" w:rsidRDefault="001E576E" w:rsidP="004D56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B17.小学、初中巩固率达到</w:t>
            </w:r>
            <w:proofErr w:type="gramStart"/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省级规定</w:t>
            </w:r>
            <w:proofErr w:type="gramEnd"/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标准。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E576E" w:rsidRPr="00A62EC6" w:rsidTr="004D560A">
        <w:trPr>
          <w:trHeight w:val="510"/>
          <w:jc w:val="center"/>
        </w:trPr>
        <w:tc>
          <w:tcPr>
            <w:tcW w:w="1016" w:type="dxa"/>
            <w:vMerge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E576E" w:rsidRPr="00A62EC6" w:rsidRDefault="001E576E" w:rsidP="004D56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B18.小学、初中学生体质健康及格率达到</w:t>
            </w:r>
            <w:proofErr w:type="gramStart"/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省级规定</w:t>
            </w:r>
            <w:proofErr w:type="gramEnd"/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标准。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E576E" w:rsidRPr="00A62EC6" w:rsidTr="004D560A">
        <w:trPr>
          <w:trHeight w:val="510"/>
          <w:jc w:val="center"/>
        </w:trPr>
        <w:tc>
          <w:tcPr>
            <w:tcW w:w="1016" w:type="dxa"/>
            <w:vMerge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E576E" w:rsidRPr="00A62EC6" w:rsidRDefault="001E576E" w:rsidP="004D56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B19.义务教育阶段不存在重点校和重点班，公办义务教育择校现象得到基本遏制。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1E576E" w:rsidRPr="00A62EC6" w:rsidTr="004D560A">
        <w:trPr>
          <w:trHeight w:val="510"/>
          <w:jc w:val="center"/>
        </w:trPr>
        <w:tc>
          <w:tcPr>
            <w:tcW w:w="1016" w:type="dxa"/>
            <w:vMerge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E576E" w:rsidRPr="00A62EC6" w:rsidRDefault="001E576E" w:rsidP="004D56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B20.中小学生过重的课业负担得到有效减轻。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5.7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5.5</w:t>
            </w:r>
          </w:p>
        </w:tc>
      </w:tr>
      <w:tr w:rsidR="001E576E" w:rsidRPr="00A62EC6" w:rsidTr="004D560A">
        <w:trPr>
          <w:trHeight w:val="510"/>
          <w:jc w:val="center"/>
        </w:trPr>
        <w:tc>
          <w:tcPr>
            <w:tcW w:w="526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94.8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95.5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97.5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95.5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96.6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center"/>
          </w:tcPr>
          <w:p w:rsidR="001E576E" w:rsidRPr="00A62EC6" w:rsidRDefault="001E576E" w:rsidP="004D56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2E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</w:tr>
    </w:tbl>
    <w:p w:rsidR="001E576E" w:rsidRPr="00E0148A" w:rsidRDefault="001E576E" w:rsidP="001E576E">
      <w:pPr>
        <w:adjustRightInd w:val="0"/>
        <w:snapToGrid w:val="0"/>
        <w:spacing w:afterLines="50" w:after="156" w:line="440" w:lineRule="exact"/>
        <w:rPr>
          <w:rFonts w:ascii="黑体" w:eastAsia="黑体" w:hAnsi="黑体"/>
          <w:kern w:val="0"/>
          <w:sz w:val="28"/>
          <w:szCs w:val="28"/>
        </w:rPr>
      </w:pPr>
    </w:p>
    <w:p w:rsidR="00A316C5" w:rsidRDefault="00A316C5"/>
    <w:sectPr w:rsidR="00A316C5" w:rsidSect="001E57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C95" w:rsidRDefault="009C1C95" w:rsidP="001E576E">
      <w:r>
        <w:separator/>
      </w:r>
    </w:p>
  </w:endnote>
  <w:endnote w:type="continuationSeparator" w:id="0">
    <w:p w:rsidR="009C1C95" w:rsidRDefault="009C1C95" w:rsidP="001E5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C95" w:rsidRDefault="009C1C95" w:rsidP="001E576E">
      <w:r>
        <w:separator/>
      </w:r>
    </w:p>
  </w:footnote>
  <w:footnote w:type="continuationSeparator" w:id="0">
    <w:p w:rsidR="009C1C95" w:rsidRDefault="009C1C95" w:rsidP="001E5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0E9"/>
    <w:rsid w:val="001E576E"/>
    <w:rsid w:val="009710E9"/>
    <w:rsid w:val="009C1C95"/>
    <w:rsid w:val="00A3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5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57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57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57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5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57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57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57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门户网站编辑部</dc:creator>
  <cp:keywords/>
  <dc:description/>
  <cp:lastModifiedBy>门户网站编辑部</cp:lastModifiedBy>
  <cp:revision>2</cp:revision>
  <dcterms:created xsi:type="dcterms:W3CDTF">2016-01-11T01:17:00Z</dcterms:created>
  <dcterms:modified xsi:type="dcterms:W3CDTF">2016-01-11T01:17:00Z</dcterms:modified>
</cp:coreProperties>
</file>