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5D" w:rsidRDefault="002E1C5D" w:rsidP="002E1C5D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cs="Times New Roman"/>
          <w:color w:val="000000"/>
          <w:sz w:val="28"/>
          <w:szCs w:val="28"/>
        </w:rPr>
      </w:pPr>
      <w:bookmarkStart w:id="0" w:name="_GoBack"/>
      <w:r>
        <w:rPr>
          <w:rFonts w:ascii="黑体" w:eastAsia="黑体" w:hint="eastAsia"/>
          <w:color w:val="000000"/>
          <w:sz w:val="28"/>
          <w:szCs w:val="28"/>
        </w:rPr>
        <w:t xml:space="preserve">表1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广西壮族自治区</w:t>
      </w:r>
      <w:r>
        <w:rPr>
          <w:rFonts w:ascii="黑体" w:eastAsia="黑体"/>
          <w:color w:val="000000"/>
          <w:sz w:val="28"/>
          <w:szCs w:val="28"/>
        </w:rPr>
        <w:t>8个县</w:t>
      </w:r>
      <w:r>
        <w:rPr>
          <w:rFonts w:ascii="黑体" w:eastAsia="黑体" w:hint="eastAsia"/>
          <w:color w:val="000000"/>
          <w:sz w:val="28"/>
          <w:szCs w:val="28"/>
        </w:rPr>
        <w:t>义务教育学校办学基本标准达标情况表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865"/>
        <w:gridCol w:w="868"/>
        <w:gridCol w:w="714"/>
        <w:gridCol w:w="1274"/>
        <w:gridCol w:w="929"/>
        <w:gridCol w:w="929"/>
        <w:gridCol w:w="929"/>
        <w:gridCol w:w="929"/>
        <w:gridCol w:w="928"/>
        <w:gridCol w:w="928"/>
        <w:gridCol w:w="928"/>
        <w:gridCol w:w="928"/>
        <w:gridCol w:w="931"/>
        <w:gridCol w:w="708"/>
      </w:tblGrid>
      <w:tr w:rsidR="002E1C5D" w:rsidTr="00063136">
        <w:trPr>
          <w:trHeight w:val="915"/>
          <w:tblHeader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bookmarkEnd w:id="0"/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27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4" w:space="0" w:color="4BACC6"/>
            </w:tcBorders>
            <w:vAlign w:val="center"/>
          </w:tcPr>
          <w:p w:rsidR="002E1C5D" w:rsidRDefault="002E1C5D" w:rsidP="002E1C5D">
            <w:pPr>
              <w:spacing w:beforeLines="50" w:before="156"/>
              <w:ind w:right="38"/>
              <w:jc w:val="right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2E1C5D" w:rsidRDefault="002E1C5D" w:rsidP="00063136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E1C5D" w:rsidRDefault="002E1C5D" w:rsidP="00063136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E1C5D" w:rsidRDefault="002E1C5D" w:rsidP="00063136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E1C5D" w:rsidRDefault="002E1C5D" w:rsidP="00063136">
            <w:pP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生</w:t>
            </w:r>
            <w:proofErr w:type="gramStart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均教学</w:t>
            </w:r>
            <w:proofErr w:type="gramEnd"/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及辅助用房面积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体育运动场地面积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科学、数理化生等仪器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信息技术装备（生机比）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体育卫生音乐美术器材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生均图书（册）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教师编制（教职工与学生比）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教师岗位设置（中级及以上教师所占比例）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教师学历结构（高于规定学历教师所占比例）</w:t>
            </w:r>
          </w:p>
        </w:tc>
        <w:tc>
          <w:tcPr>
            <w:tcW w:w="70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2E1C5D" w:rsidRDefault="002E1C5D" w:rsidP="0006313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2E1C5D" w:rsidTr="00063136">
        <w:trPr>
          <w:trHeight w:val="402"/>
          <w:tblHeader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4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L6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L8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L9</w:t>
            </w:r>
          </w:p>
        </w:tc>
        <w:tc>
          <w:tcPr>
            <w:tcW w:w="70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南宁市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青秀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南宁市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兴宁区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桂林市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秀峰区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桂林市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七星区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桂林市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雁山区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贵港市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覃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塘区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来宾市</w:t>
            </w:r>
            <w:proofErr w:type="gramEnd"/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忻城县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崇左市</w:t>
            </w:r>
          </w:p>
        </w:tc>
        <w:tc>
          <w:tcPr>
            <w:tcW w:w="8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凭祥市</w:t>
            </w: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2E1C5D" w:rsidTr="00063136">
        <w:trPr>
          <w:trHeight w:hRule="exact" w:val="340"/>
          <w:jc w:val="center"/>
        </w:trPr>
        <w:tc>
          <w:tcPr>
            <w:tcW w:w="47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E1C5D" w:rsidRDefault="002E1C5D" w:rsidP="0006313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</w:tbl>
    <w:p w:rsidR="00753CFE" w:rsidRDefault="00753CFE"/>
    <w:sectPr w:rsidR="00753CFE" w:rsidSect="002E1C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D"/>
    <w:rsid w:val="002E1C5D"/>
    <w:rsid w:val="007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5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5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74EC-0886-434D-B38C-14D4DF04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2016-01-15T09:15:00Z</dcterms:created>
  <dcterms:modified xsi:type="dcterms:W3CDTF">2016-01-15T09:15:00Z</dcterms:modified>
</cp:coreProperties>
</file>