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DB" w:rsidRDefault="005232DB" w:rsidP="005232DB">
      <w:pPr>
        <w:adjustRightInd w:val="0"/>
        <w:snapToGrid w:val="0"/>
        <w:spacing w:afterLines="50" w:line="440" w:lineRule="exact"/>
        <w:ind w:firstLineChars="200" w:firstLine="560"/>
        <w:jc w:val="center"/>
        <w:rPr>
          <w:rFonts w:ascii="黑体" w:eastAsia="黑体" w:hAnsi="宋体" w:cs="黑体"/>
          <w:kern w:val="0"/>
          <w:sz w:val="28"/>
          <w:szCs w:val="28"/>
        </w:rPr>
      </w:pPr>
      <w:r>
        <w:rPr>
          <w:rFonts w:ascii="黑体" w:eastAsia="黑体" w:cs="黑体" w:hint="eastAsia"/>
          <w:sz w:val="28"/>
        </w:rPr>
        <w:t>表3 吉林省</w:t>
      </w:r>
      <w:r>
        <w:rPr>
          <w:rFonts w:ascii="黑体" w:eastAsia="黑体" w:cs="黑体"/>
          <w:sz w:val="28"/>
        </w:rPr>
        <w:t>15</w:t>
      </w:r>
      <w:r>
        <w:rPr>
          <w:rFonts w:ascii="黑体" w:eastAsia="黑体" w:cs="黑体" w:hint="eastAsia"/>
          <w:sz w:val="28"/>
        </w:rPr>
        <w:t>个县（市、区）</w:t>
      </w:r>
      <w:r>
        <w:rPr>
          <w:rFonts w:ascii="黑体" w:eastAsia="黑体" w:hAnsi="宋体" w:cs="黑体" w:hint="eastAsia"/>
          <w:kern w:val="0"/>
          <w:sz w:val="28"/>
          <w:szCs w:val="28"/>
        </w:rPr>
        <w:t>政府推进义务教育均衡发展工作得分情况表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497"/>
        <w:gridCol w:w="763"/>
        <w:gridCol w:w="900"/>
        <w:gridCol w:w="720"/>
        <w:gridCol w:w="540"/>
        <w:gridCol w:w="540"/>
        <w:gridCol w:w="540"/>
        <w:gridCol w:w="540"/>
        <w:gridCol w:w="720"/>
        <w:gridCol w:w="72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818"/>
      </w:tblGrid>
      <w:tr w:rsidR="005232DB" w:rsidTr="007406AB">
        <w:trPr>
          <w:trHeight w:val="1277"/>
          <w:tblHeader/>
          <w:jc w:val="center"/>
        </w:trPr>
        <w:tc>
          <w:tcPr>
            <w:tcW w:w="497" w:type="dxa"/>
            <w:vMerge w:val="restart"/>
            <w:shd w:val="clear" w:color="auto" w:fill="D2EAF1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63" w:type="dxa"/>
            <w:vMerge w:val="restart"/>
            <w:shd w:val="clear" w:color="auto" w:fill="D2EAF1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00" w:type="dxa"/>
            <w:vMerge w:val="restart"/>
            <w:tcBorders>
              <w:tl2br w:val="single" w:sz="4" w:space="0" w:color="33CCCC"/>
            </w:tcBorders>
            <w:shd w:val="clear" w:color="auto" w:fill="D2EAF1"/>
            <w:vAlign w:val="center"/>
          </w:tcPr>
          <w:p w:rsidR="005232DB" w:rsidRDefault="005232DB" w:rsidP="007406AB">
            <w:pPr>
              <w:jc w:val="righ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5232DB" w:rsidRDefault="005232DB" w:rsidP="007406AB">
            <w:pPr>
              <w:jc w:val="righ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</w:t>
            </w:r>
          </w:p>
          <w:p w:rsidR="005232DB" w:rsidRDefault="005232DB" w:rsidP="007406AB">
            <w:pPr>
              <w:wordWrap w:val="0"/>
              <w:jc w:val="righ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与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232DB" w:rsidRDefault="005232DB" w:rsidP="007406AB">
            <w:pPr>
              <w:jc w:val="righ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分值</w:t>
            </w:r>
          </w:p>
          <w:p w:rsidR="005232DB" w:rsidRDefault="005232DB" w:rsidP="007406AB">
            <w:pPr>
              <w:widowControl/>
              <w:spacing w:line="300" w:lineRule="exact"/>
              <w:ind w:right="-142"/>
              <w:rPr>
                <w:b/>
                <w:color w:val="000000"/>
                <w:kern w:val="0"/>
                <w:sz w:val="18"/>
                <w:szCs w:val="18"/>
              </w:rPr>
            </w:pPr>
          </w:p>
          <w:p w:rsidR="005232DB" w:rsidRDefault="005232DB" w:rsidP="007406AB">
            <w:pPr>
              <w:widowControl/>
              <w:spacing w:line="300" w:lineRule="exact"/>
              <w:ind w:right="-142"/>
              <w:rPr>
                <w:b/>
                <w:color w:val="000000"/>
                <w:kern w:val="0"/>
                <w:sz w:val="18"/>
                <w:szCs w:val="18"/>
              </w:rPr>
            </w:pPr>
          </w:p>
          <w:p w:rsidR="005232DB" w:rsidRDefault="005232DB" w:rsidP="007406AB">
            <w:pPr>
              <w:widowControl/>
              <w:spacing w:line="300" w:lineRule="exact"/>
              <w:ind w:right="-142"/>
              <w:rPr>
                <w:b/>
                <w:color w:val="000000"/>
                <w:kern w:val="0"/>
                <w:sz w:val="18"/>
                <w:szCs w:val="18"/>
              </w:rPr>
            </w:pPr>
          </w:p>
          <w:p w:rsidR="005232DB" w:rsidRDefault="005232DB" w:rsidP="007406AB">
            <w:pPr>
              <w:widowControl/>
              <w:spacing w:line="300" w:lineRule="exact"/>
              <w:ind w:right="-142"/>
              <w:rPr>
                <w:b/>
                <w:color w:val="000000"/>
                <w:kern w:val="0"/>
                <w:sz w:val="18"/>
                <w:szCs w:val="18"/>
              </w:rPr>
            </w:pPr>
          </w:p>
          <w:p w:rsidR="005232DB" w:rsidRDefault="005232DB" w:rsidP="007406AB">
            <w:pPr>
              <w:widowControl/>
              <w:spacing w:line="300" w:lineRule="exact"/>
              <w:ind w:right="-142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</w:rPr>
              <w:t>县市区</w:t>
            </w:r>
          </w:p>
          <w:p w:rsidR="005232DB" w:rsidRDefault="005232DB" w:rsidP="007406AB">
            <w:pPr>
              <w:widowControl/>
              <w:spacing w:line="300" w:lineRule="exact"/>
              <w:ind w:right="-142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进城务工人员子女入学</w:t>
            </w:r>
          </w:p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(5)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留守儿童关爱体系</w:t>
            </w:r>
          </w:p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(5)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三类残疾儿童少年入学率</w:t>
            </w:r>
            <w:r>
              <w:rPr>
                <w:rFonts w:ascii="宋体" w:cs="宋体"/>
                <w:b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sz w:val="18"/>
                <w:szCs w:val="18"/>
              </w:rPr>
              <w:t>(5)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优质普通高中指标生分配</w:t>
            </w:r>
          </w:p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(5)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推进均衡任务与措施</w:t>
            </w:r>
          </w:p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(4)</w:t>
            </w:r>
          </w:p>
        </w:tc>
        <w:tc>
          <w:tcPr>
            <w:tcW w:w="72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政府及部门监督问责（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72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推进学校标准化建设</w:t>
            </w:r>
          </w:p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(4)</w:t>
            </w:r>
          </w:p>
        </w:tc>
        <w:tc>
          <w:tcPr>
            <w:tcW w:w="72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义务教育经费</w:t>
            </w:r>
            <w:r>
              <w:rPr>
                <w:rFonts w:ascii="宋体" w:cs="宋体" w:hint="eastAsia"/>
                <w:b/>
                <w:kern w:val="0"/>
                <w:sz w:val="18"/>
                <w:szCs w:val="18"/>
              </w:rPr>
              <w:t>“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三个增长</w:t>
            </w:r>
            <w:r>
              <w:rPr>
                <w:rFonts w:ascii="宋体" w:cs="宋体" w:hint="eastAsia"/>
                <w:b/>
                <w:kern w:val="0"/>
                <w:sz w:val="18"/>
                <w:szCs w:val="18"/>
              </w:rPr>
              <w:t>”</w:t>
            </w:r>
          </w:p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(5)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落实生均公用经费</w:t>
            </w:r>
          </w:p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(4)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教育经费管理与使用</w:t>
            </w:r>
          </w:p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(4)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义务教育绩效工资制度</w:t>
            </w:r>
          </w:p>
          <w:p w:rsidR="005232DB" w:rsidRDefault="005232DB" w:rsidP="007406AB">
            <w:pPr>
              <w:jc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hAnsi="宋体" w:cs="宋体"/>
                <w:b/>
                <w:sz w:val="15"/>
                <w:szCs w:val="15"/>
              </w:rPr>
              <w:t>(7.5)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教师配备</w:t>
            </w:r>
          </w:p>
          <w:p w:rsidR="005232DB" w:rsidRDefault="005232DB" w:rsidP="007406AB">
            <w:pPr>
              <w:jc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hAnsi="宋体" w:cs="宋体"/>
                <w:b/>
                <w:sz w:val="15"/>
                <w:szCs w:val="15"/>
              </w:rPr>
              <w:t>(7.5)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教师交流</w:t>
            </w:r>
          </w:p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(10)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教师</w:t>
            </w:r>
          </w:p>
          <w:p w:rsidR="005232DB" w:rsidRDefault="005232DB" w:rsidP="007406AB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培训</w:t>
            </w:r>
          </w:p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(10)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开齐开足课程</w:t>
            </w:r>
            <w:r>
              <w:rPr>
                <w:rFonts w:ascii="宋体" w:cs="宋体"/>
                <w:b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sz w:val="18"/>
                <w:szCs w:val="18"/>
              </w:rPr>
              <w:t>(4)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均衡分班和遏制择校</w:t>
            </w:r>
          </w:p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(4)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落实减负规定（</w:t>
            </w:r>
            <w:r>
              <w:rPr>
                <w:rFonts w:ascii="宋体" w:hAnsi="宋体" w:cs="宋体"/>
                <w:b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在校生巩固率</w:t>
            </w:r>
          </w:p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(4)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学生体质健康</w:t>
            </w:r>
          </w:p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(4)</w:t>
            </w:r>
          </w:p>
        </w:tc>
        <w:tc>
          <w:tcPr>
            <w:tcW w:w="818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总分</w:t>
            </w:r>
            <w:r>
              <w:rPr>
                <w:rFonts w:ascii="宋体" w:hAnsi="宋体" w:cs="宋体" w:hint="eastAsia"/>
                <w:b/>
                <w:sz w:val="15"/>
                <w:szCs w:val="15"/>
              </w:rPr>
              <w:t>（</w:t>
            </w:r>
            <w:r>
              <w:rPr>
                <w:rFonts w:ascii="宋体" w:hAnsi="宋体" w:cs="宋体"/>
                <w:b/>
                <w:sz w:val="15"/>
                <w:szCs w:val="15"/>
              </w:rPr>
              <w:t>100</w:t>
            </w:r>
            <w:r>
              <w:rPr>
                <w:rFonts w:ascii="宋体" w:hAnsi="宋体" w:cs="宋体" w:hint="eastAsia"/>
                <w:b/>
                <w:sz w:val="15"/>
                <w:szCs w:val="15"/>
              </w:rPr>
              <w:t>）</w:t>
            </w:r>
          </w:p>
        </w:tc>
      </w:tr>
      <w:tr w:rsidR="005232DB" w:rsidTr="007406AB">
        <w:trPr>
          <w:trHeight w:val="163"/>
          <w:tblHeader/>
          <w:jc w:val="center"/>
        </w:trPr>
        <w:tc>
          <w:tcPr>
            <w:tcW w:w="497" w:type="dxa"/>
            <w:vMerge/>
            <w:shd w:val="clear" w:color="auto" w:fill="D2EAF1"/>
            <w:vAlign w:val="center"/>
          </w:tcPr>
          <w:p w:rsidR="005232DB" w:rsidRDefault="005232DB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shd w:val="clear" w:color="auto" w:fill="D2EAF1"/>
            <w:vAlign w:val="center"/>
          </w:tcPr>
          <w:p w:rsidR="005232DB" w:rsidRDefault="005232DB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l2br w:val="single" w:sz="4" w:space="0" w:color="33CCCC"/>
            </w:tcBorders>
            <w:shd w:val="clear" w:color="auto" w:fill="D2EAF1"/>
            <w:vAlign w:val="center"/>
          </w:tcPr>
          <w:p w:rsidR="005232DB" w:rsidRDefault="005232DB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L1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L2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L3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L5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L6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L7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L8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L9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L11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L12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L13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L14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L15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L16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L17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L18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L19</w:t>
            </w:r>
          </w:p>
        </w:tc>
        <w:tc>
          <w:tcPr>
            <w:tcW w:w="818" w:type="dxa"/>
            <w:vAlign w:val="center"/>
          </w:tcPr>
          <w:p w:rsidR="005232DB" w:rsidRDefault="005232DB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232DB" w:rsidTr="007406AB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德惠市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2.4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93.6</w:t>
            </w:r>
          </w:p>
        </w:tc>
      </w:tr>
      <w:tr w:rsidR="005232DB" w:rsidTr="007406AB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四平市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公主岭市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2.4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  <w:r>
              <w:rPr>
                <w:rFonts w:ascii="宋体" w:hAnsi="宋体" w:cs="Tahoma"/>
                <w:sz w:val="18"/>
                <w:szCs w:val="18"/>
              </w:rPr>
              <w:t>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92.6</w:t>
            </w:r>
          </w:p>
        </w:tc>
      </w:tr>
      <w:tr w:rsidR="005232DB" w:rsidTr="007406AB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四平市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双辽市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2.4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95.4</w:t>
            </w:r>
          </w:p>
        </w:tc>
      </w:tr>
      <w:tr w:rsidR="005232DB" w:rsidTr="007406AB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辽源市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龙山区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2.4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95.3</w:t>
            </w:r>
          </w:p>
        </w:tc>
      </w:tr>
      <w:tr w:rsidR="005232DB" w:rsidTr="007406AB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辽源市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西安区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97.7</w:t>
            </w:r>
          </w:p>
        </w:tc>
      </w:tr>
      <w:tr w:rsidR="005232DB" w:rsidTr="007406AB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通化市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柳河县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96.2</w:t>
            </w:r>
          </w:p>
        </w:tc>
      </w:tr>
      <w:tr w:rsidR="005232DB" w:rsidTr="007406AB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松原市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扶余市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2.4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92.8</w:t>
            </w:r>
          </w:p>
        </w:tc>
      </w:tr>
      <w:tr w:rsidR="005232DB" w:rsidTr="007406AB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白城市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洮北区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2.4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90.6</w:t>
            </w:r>
          </w:p>
        </w:tc>
      </w:tr>
      <w:tr w:rsidR="005232DB" w:rsidTr="007406AB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白城市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洮南市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2.4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90.6</w:t>
            </w:r>
          </w:p>
        </w:tc>
      </w:tr>
      <w:tr w:rsidR="005232DB" w:rsidTr="007406AB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白城市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大安市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2.4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94.4</w:t>
            </w:r>
          </w:p>
        </w:tc>
      </w:tr>
      <w:tr w:rsidR="005232DB" w:rsidTr="007406AB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延边州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汪清县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94.7</w:t>
            </w:r>
          </w:p>
        </w:tc>
      </w:tr>
      <w:tr w:rsidR="005232DB" w:rsidTr="007406AB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延边州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和龙市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94.2</w:t>
            </w:r>
          </w:p>
        </w:tc>
      </w:tr>
      <w:tr w:rsidR="005232DB" w:rsidTr="007406AB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延边州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珲春市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95.7</w:t>
            </w:r>
          </w:p>
        </w:tc>
      </w:tr>
      <w:tr w:rsidR="005232DB" w:rsidTr="007406AB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延边州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图们市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93.7</w:t>
            </w:r>
          </w:p>
        </w:tc>
      </w:tr>
      <w:tr w:rsidR="005232DB" w:rsidTr="007406AB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5232DB" w:rsidRDefault="005232DB" w:rsidP="007406AB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延边州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安图县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5232DB" w:rsidRDefault="005232DB" w:rsidP="007406AB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93.7</w:t>
            </w:r>
          </w:p>
        </w:tc>
      </w:tr>
    </w:tbl>
    <w:p w:rsidR="0035037F" w:rsidRDefault="0035037F"/>
    <w:sectPr w:rsidR="0035037F" w:rsidSect="005232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7F" w:rsidRDefault="0035037F" w:rsidP="005232DB">
      <w:r>
        <w:separator/>
      </w:r>
    </w:p>
  </w:endnote>
  <w:endnote w:type="continuationSeparator" w:id="1">
    <w:p w:rsidR="0035037F" w:rsidRDefault="0035037F" w:rsidP="0052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7F" w:rsidRDefault="0035037F" w:rsidP="005232DB">
      <w:r>
        <w:separator/>
      </w:r>
    </w:p>
  </w:footnote>
  <w:footnote w:type="continuationSeparator" w:id="1">
    <w:p w:rsidR="0035037F" w:rsidRDefault="0035037F" w:rsidP="00523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2DB"/>
    <w:rsid w:val="0035037F"/>
    <w:rsid w:val="0052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2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2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2016-10-18T01:38:00Z</dcterms:created>
  <dcterms:modified xsi:type="dcterms:W3CDTF">2016-10-18T01:38:00Z</dcterms:modified>
</cp:coreProperties>
</file>