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B2" w:rsidRDefault="000C2CB2" w:rsidP="000C2CB2">
      <w:pPr>
        <w:adjustRightInd w:val="0"/>
        <w:snapToGrid w:val="0"/>
        <w:spacing w:line="560" w:lineRule="exact"/>
        <w:jc w:val="left"/>
        <w:outlineLvl w:val="0"/>
        <w:rPr>
          <w:rFonts w:ascii="黑体" w:eastAsia="黑体" w:hint="eastAsia"/>
          <w:b/>
          <w:sz w:val="30"/>
        </w:rPr>
      </w:pPr>
      <w:r>
        <w:rPr>
          <w:rFonts w:ascii="黑体" w:eastAsia="黑体" w:hAnsi="宋体" w:hint="eastAsia"/>
          <w:sz w:val="32"/>
        </w:rPr>
        <w:t>附件</w:t>
      </w:r>
      <w:r>
        <w:rPr>
          <w:rFonts w:ascii="黑体" w:eastAsia="黑体" w:hint="eastAsia"/>
          <w:sz w:val="32"/>
        </w:rPr>
        <w:t>1</w:t>
      </w:r>
    </w:p>
    <w:p w:rsidR="000C2CB2" w:rsidRDefault="000C2CB2" w:rsidP="000C2CB2">
      <w:pPr>
        <w:adjustRightInd w:val="0"/>
        <w:snapToGrid w:val="0"/>
        <w:spacing w:line="560" w:lineRule="exact"/>
        <w:jc w:val="center"/>
        <w:outlineLvl w:val="0"/>
        <w:rPr>
          <w:rFonts w:ascii="方正小标宋简体" w:eastAsia="方正小标宋简体" w:hint="eastAsia"/>
          <w:sz w:val="44"/>
          <w:szCs w:val="44"/>
        </w:rPr>
      </w:pPr>
      <w:bookmarkStart w:id="0" w:name="_GoBack"/>
      <w:r>
        <w:rPr>
          <w:rFonts w:ascii="方正小标宋简体" w:eastAsia="方正小标宋简体" w:hAnsi="宋体" w:hint="eastAsia"/>
          <w:sz w:val="44"/>
          <w:szCs w:val="44"/>
        </w:rPr>
        <w:t>重点任务分工及进度安排表</w:t>
      </w:r>
    </w:p>
    <w:bookmarkEnd w:id="0"/>
    <w:p w:rsidR="000C2CB2" w:rsidRDefault="000C2CB2" w:rsidP="000C2CB2">
      <w:pPr>
        <w:adjustRightInd w:val="0"/>
        <w:snapToGrid w:val="0"/>
        <w:jc w:val="center"/>
        <w:outlineLvl w:val="0"/>
        <w:rPr>
          <w:rFonts w:eastAsia="仿宋"/>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396"/>
        <w:gridCol w:w="3600"/>
        <w:gridCol w:w="3144"/>
      </w:tblGrid>
      <w:tr w:rsidR="000C2CB2" w:rsidTr="00566469">
        <w:trPr>
          <w:trHeight w:val="631"/>
          <w:tblHeade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序号</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重点任务</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责任主体</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时间进度</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一、突出问题专项治理行动</w:t>
            </w:r>
          </w:p>
        </w:tc>
      </w:tr>
      <w:tr w:rsidR="000C2CB2" w:rsidTr="00566469">
        <w:trPr>
          <w:jc w:val="center"/>
        </w:trPr>
        <w:tc>
          <w:tcPr>
            <w:tcW w:w="722" w:type="dxa"/>
            <w:tcBorders>
              <w:top w:val="single" w:sz="4" w:space="0" w:color="auto"/>
              <w:left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1</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招生行为规范活动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省市县教育行政部门和职业院校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诚信招生承诺活动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left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3</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教学标准落地活动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4</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实习管理规范活动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left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5</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学籍信息核查活动</w:t>
            </w:r>
          </w:p>
        </w:tc>
        <w:tc>
          <w:tcPr>
            <w:tcW w:w="3600"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left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6</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平安校园创建活动</w:t>
            </w:r>
          </w:p>
        </w:tc>
        <w:tc>
          <w:tcPr>
            <w:tcW w:w="3600"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7</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财务管理规范活动</w:t>
            </w:r>
          </w:p>
        </w:tc>
        <w:tc>
          <w:tcPr>
            <w:tcW w:w="3600"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8</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督促专项治理行动落实并建立长效机制</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12</w:t>
            </w:r>
            <w:r>
              <w:rPr>
                <w:rFonts w:hAnsi="宋体"/>
                <w:sz w:val="24"/>
              </w:rPr>
              <w:t>月底前完成</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二、管理制度标准建设行动</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9</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建设学校章程</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高职院校</w:t>
            </w:r>
            <w:r>
              <w:rPr>
                <w:sz w:val="24"/>
              </w:rPr>
              <w:t>2016</w:t>
            </w:r>
            <w:r>
              <w:rPr>
                <w:rFonts w:hAnsi="宋体"/>
                <w:sz w:val="24"/>
              </w:rPr>
              <w:t>年</w:t>
            </w:r>
            <w:r>
              <w:rPr>
                <w:sz w:val="24"/>
              </w:rPr>
              <w:t>3</w:t>
            </w:r>
            <w:r>
              <w:rPr>
                <w:rFonts w:hAnsi="宋体"/>
                <w:sz w:val="24"/>
              </w:rPr>
              <w:t>月前完成</w:t>
            </w:r>
          </w:p>
          <w:p w:rsidR="000C2CB2" w:rsidRDefault="000C2CB2" w:rsidP="00566469">
            <w:pPr>
              <w:adjustRightInd w:val="0"/>
              <w:snapToGrid w:val="0"/>
              <w:spacing w:line="400" w:lineRule="exact"/>
              <w:outlineLvl w:val="0"/>
              <w:rPr>
                <w:sz w:val="24"/>
              </w:rPr>
            </w:pPr>
            <w:r>
              <w:rPr>
                <w:rFonts w:hAnsi="宋体"/>
                <w:sz w:val="24"/>
              </w:rPr>
              <w:t>中职示范校</w:t>
            </w:r>
            <w:r>
              <w:rPr>
                <w:sz w:val="24"/>
              </w:rPr>
              <w:t>2016</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center"/>
              <w:outlineLvl w:val="0"/>
              <w:rPr>
                <w:sz w:val="24"/>
              </w:rPr>
            </w:pPr>
            <w:r>
              <w:rPr>
                <w:sz w:val="24"/>
              </w:rPr>
              <w:t>10</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完善内部管理制度</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2018</w:t>
            </w:r>
            <w:r>
              <w:rPr>
                <w:rFonts w:hAnsi="宋体"/>
                <w:sz w:val="24"/>
              </w:rPr>
              <w:t>年</w:t>
            </w:r>
            <w:r>
              <w:rPr>
                <w:sz w:val="24"/>
              </w:rPr>
              <w:t>6</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11</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搭建章程建设和完善内部管理制度的交流、咨询和服务平台，组织研制管理指导手册</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2018</w:t>
            </w:r>
            <w:r>
              <w:rPr>
                <w:rFonts w:hAnsi="宋体"/>
                <w:sz w:val="24"/>
              </w:rPr>
              <w:t>年</w:t>
            </w:r>
            <w:r>
              <w:rPr>
                <w:sz w:val="24"/>
              </w:rPr>
              <w:t>6</w:t>
            </w:r>
            <w:r>
              <w:rPr>
                <w:rFonts w:hAnsi="宋体"/>
                <w:sz w:val="24"/>
              </w:rPr>
              <w:t>月底前完成</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三、管理队伍能力建设行动</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12</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细化院校长和其他管理人员能力要求，开展培养培训</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省市教育行政部门和职业院校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13</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制定培训方案，组织开展管理经验交流和培训活动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省市县教育行政部门和职业院校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lastRenderedPageBreak/>
              <w:t>四、管理信息化水平提升行动</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14</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整合资源平台</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15</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制订和完善数字校园建设规划，建立健全管理信息系统应用和技术支持服务体系</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r w:rsidR="000C2CB2" w:rsidTr="00566469">
        <w:trPr>
          <w:jc w:val="center"/>
        </w:trPr>
        <w:tc>
          <w:tcPr>
            <w:tcW w:w="722" w:type="dxa"/>
            <w:tcBorders>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16</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完成数字校园或智慧校园建设</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高职</w:t>
            </w:r>
            <w:r>
              <w:rPr>
                <w:sz w:val="24"/>
              </w:rPr>
              <w:t>2017</w:t>
            </w:r>
            <w:r>
              <w:rPr>
                <w:rFonts w:hAnsi="宋体"/>
                <w:sz w:val="24"/>
              </w:rPr>
              <w:t>年</w:t>
            </w:r>
            <w:r>
              <w:rPr>
                <w:sz w:val="24"/>
              </w:rPr>
              <w:t>12</w:t>
            </w:r>
            <w:r>
              <w:rPr>
                <w:rFonts w:hAnsi="宋体"/>
                <w:sz w:val="24"/>
              </w:rPr>
              <w:t>月底前完成</w:t>
            </w:r>
          </w:p>
          <w:p w:rsidR="000C2CB2" w:rsidRDefault="000C2CB2" w:rsidP="00566469">
            <w:pPr>
              <w:adjustRightInd w:val="0"/>
              <w:snapToGrid w:val="0"/>
              <w:spacing w:line="400" w:lineRule="exact"/>
              <w:jc w:val="center"/>
              <w:outlineLvl w:val="0"/>
              <w:rPr>
                <w:sz w:val="24"/>
              </w:rPr>
            </w:pPr>
            <w:r>
              <w:rPr>
                <w:rFonts w:hAnsi="宋体"/>
                <w:sz w:val="24"/>
              </w:rPr>
              <w:t>中职</w:t>
            </w:r>
            <w:r>
              <w:rPr>
                <w:sz w:val="24"/>
              </w:rPr>
              <w:t>2018</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17</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强化管理人员信息化意识和应用能力培养</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18</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组织开展管理信息化创新经验交流与现场观摩等活动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19</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遴选推荐</w:t>
            </w:r>
            <w:r>
              <w:rPr>
                <w:sz w:val="24"/>
              </w:rPr>
              <w:t>15</w:t>
            </w:r>
            <w:r>
              <w:rPr>
                <w:rFonts w:hAnsi="宋体"/>
                <w:sz w:val="24"/>
              </w:rPr>
              <w:t>所职业院校建设国家数字校园实验校</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2018</w:t>
            </w:r>
            <w:r>
              <w:rPr>
                <w:rFonts w:hAnsi="宋体"/>
                <w:sz w:val="24"/>
              </w:rPr>
              <w:t>年底前完成</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五、文化育人管理创新行动</w:t>
            </w:r>
          </w:p>
        </w:tc>
      </w:tr>
      <w:tr w:rsidR="000C2CB2" w:rsidTr="00566469">
        <w:trPr>
          <w:trHeight w:val="1337"/>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outlineLvl w:val="0"/>
              <w:rPr>
                <w:sz w:val="24"/>
              </w:rPr>
            </w:pPr>
            <w:r>
              <w:rPr>
                <w:rFonts w:hAnsi="宋体"/>
                <w:spacing w:val="-4"/>
                <w:sz w:val="24"/>
              </w:rPr>
              <w:t>组织开展学校核心文化、优秀学生社团等遴选展示活动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省市县教育行政部门和职业院校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trHeight w:val="1864"/>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21</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开展优秀文化进校园、学生自主发展能力培养等系列主题活动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22</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学校文化与优秀文化融合机制建设</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22</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文化育人管理平台建设</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24</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left"/>
              <w:outlineLvl w:val="0"/>
              <w:rPr>
                <w:sz w:val="24"/>
              </w:rPr>
            </w:pPr>
            <w:r>
              <w:rPr>
                <w:rFonts w:hAnsi="宋体"/>
                <w:sz w:val="24"/>
              </w:rPr>
              <w:t>文化育人管理精品项目建设</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lastRenderedPageBreak/>
              <w:t>六、质量保证体系完善行动</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25</w:t>
            </w:r>
          </w:p>
        </w:tc>
        <w:tc>
          <w:tcPr>
            <w:tcW w:w="2396"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outlineLvl w:val="0"/>
              <w:rPr>
                <w:sz w:val="24"/>
              </w:rPr>
            </w:pPr>
            <w:r>
              <w:rPr>
                <w:rFonts w:hAnsi="宋体"/>
                <w:sz w:val="24"/>
              </w:rPr>
              <w:t>建立健全质量监控体系，发布质量年度报告</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26</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建立和完善预警机制，编制、发布职业教育质量年度报告</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省市县教育行政部门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27</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定期组织质量年报的合</w:t>
            </w:r>
            <w:proofErr w:type="gramStart"/>
            <w:r>
              <w:rPr>
                <w:rFonts w:hAnsi="宋体"/>
                <w:sz w:val="24"/>
              </w:rPr>
              <w:t>规</w:t>
            </w:r>
            <w:proofErr w:type="gramEnd"/>
            <w:r>
              <w:rPr>
                <w:rFonts w:hAnsi="宋体"/>
                <w:sz w:val="24"/>
              </w:rPr>
              <w:t>性审查</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28</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完善专业技能、毕业设计抽查标准，并组织实施。</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七、加强组织领导</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29</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负责实施方案制定、部署和监督指导</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30</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根据行动计划整体部署，对照《职业院校管理工作主要参考点》，制订工作方案和年度推进计划</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3</w:t>
            </w:r>
            <w:r>
              <w:rPr>
                <w:rFonts w:hAnsi="宋体"/>
                <w:sz w:val="24"/>
              </w:rPr>
              <w:t>月底前完成</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31</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各市行动计划实施细则报教育厅备案</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市教育局</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2016</w:t>
            </w:r>
            <w:r>
              <w:rPr>
                <w:rFonts w:hAnsi="宋体"/>
                <w:sz w:val="24"/>
              </w:rPr>
              <w:t>年</w:t>
            </w:r>
            <w:r>
              <w:rPr>
                <w:sz w:val="24"/>
              </w:rPr>
              <w:t>3</w:t>
            </w:r>
            <w:r>
              <w:rPr>
                <w:rFonts w:hAnsi="宋体"/>
                <w:sz w:val="24"/>
              </w:rPr>
              <w:t>月底前完成</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八、加强宣传发动</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32</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开展行动计划以及国家职业教育有关政策法规和制度标准的宣传解读活动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市县教育局</w:t>
            </w:r>
            <w:proofErr w:type="gramStart"/>
            <w:r>
              <w:rPr>
                <w:rFonts w:hAnsi="宋体"/>
                <w:sz w:val="24"/>
              </w:rPr>
              <w:t>和</w:t>
            </w:r>
            <w:proofErr w:type="gramEnd"/>
          </w:p>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r>
              <w:rPr>
                <w:sz w:val="24"/>
              </w:rPr>
              <w:t xml:space="preserve"> </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33</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pacing w:val="-6"/>
                <w:sz w:val="24"/>
              </w:rPr>
            </w:pPr>
            <w:r>
              <w:rPr>
                <w:rFonts w:hAnsi="宋体"/>
                <w:spacing w:val="-6"/>
                <w:sz w:val="24"/>
              </w:rPr>
              <w:t>设立</w:t>
            </w:r>
            <w:r>
              <w:rPr>
                <w:spacing w:val="-6"/>
                <w:sz w:val="24"/>
              </w:rPr>
              <w:t>“</w:t>
            </w:r>
            <w:r>
              <w:rPr>
                <w:rFonts w:hAnsi="宋体"/>
                <w:spacing w:val="-6"/>
                <w:sz w:val="24"/>
              </w:rPr>
              <w:t>职业院校管理水平提升行动计划</w:t>
            </w:r>
            <w:r>
              <w:rPr>
                <w:spacing w:val="-6"/>
                <w:sz w:val="24"/>
              </w:rPr>
              <w:t>”</w:t>
            </w:r>
            <w:r>
              <w:rPr>
                <w:rFonts w:hAnsi="宋体"/>
                <w:spacing w:val="-6"/>
                <w:sz w:val="24"/>
              </w:rPr>
              <w:t>网络专栏，组织专家辅导、专题研讨等活动</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市县教育局</w:t>
            </w:r>
            <w:proofErr w:type="gramStart"/>
            <w:r>
              <w:rPr>
                <w:rFonts w:hAnsi="宋体"/>
                <w:sz w:val="24"/>
              </w:rPr>
              <w:t>和</w:t>
            </w:r>
            <w:proofErr w:type="gramEnd"/>
          </w:p>
          <w:p w:rsidR="000C2CB2" w:rsidRDefault="000C2CB2" w:rsidP="00566469">
            <w:pPr>
              <w:adjustRightInd w:val="0"/>
              <w:snapToGrid w:val="0"/>
              <w:spacing w:line="400" w:lineRule="exact"/>
              <w:jc w:val="center"/>
              <w:outlineLvl w:val="0"/>
              <w:rPr>
                <w:sz w:val="24"/>
              </w:rPr>
            </w:pPr>
            <w:r>
              <w:rPr>
                <w:rFonts w:hAnsi="宋体"/>
                <w:sz w:val="24"/>
              </w:rPr>
              <w:t>职业院校</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lastRenderedPageBreak/>
              <w:t>九、加强督促检查</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34</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建立督查调研、情况通报、限期报告、跟踪问效等制度</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ind w:firstLineChars="500" w:firstLine="1200"/>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35</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建立行动计划实施进展情况简报、通报和重大问题限期整改报告制度，视情组织专项督查</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ind w:firstLineChars="500" w:firstLine="1200"/>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36</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遴选</w:t>
            </w:r>
            <w:r>
              <w:rPr>
                <w:rFonts w:hint="eastAsia"/>
                <w:sz w:val="24"/>
              </w:rPr>
              <w:t>70</w:t>
            </w:r>
            <w:r>
              <w:rPr>
                <w:rFonts w:hAnsi="宋体"/>
                <w:sz w:val="24"/>
              </w:rPr>
              <w:t>所</w:t>
            </w:r>
            <w:r>
              <w:rPr>
                <w:rFonts w:hAnsi="宋体" w:hint="eastAsia"/>
                <w:sz w:val="24"/>
              </w:rPr>
              <w:t>示范</w:t>
            </w:r>
            <w:r>
              <w:rPr>
                <w:rFonts w:hAnsi="宋体"/>
                <w:sz w:val="24"/>
              </w:rPr>
              <w:t>职业院校</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r w:rsidR="000C2CB2" w:rsidTr="00566469">
        <w:trPr>
          <w:trHeight w:hRule="exact" w:val="567"/>
          <w:jc w:val="center"/>
        </w:trPr>
        <w:tc>
          <w:tcPr>
            <w:tcW w:w="9862" w:type="dxa"/>
            <w:gridSpan w:val="4"/>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b/>
                <w:sz w:val="24"/>
              </w:rPr>
            </w:pPr>
            <w:r>
              <w:rPr>
                <w:rFonts w:hAnsi="宋体"/>
                <w:b/>
                <w:sz w:val="24"/>
              </w:rPr>
              <w:t>十、加强指导服务</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37</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加强专家队伍建设，组织开展相关研究，跟踪行动计划的实施进展情况，并及时提供专业指导，广泛征集和宣传优秀管理案例</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省市教育行政部门</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持续实施</w:t>
            </w:r>
          </w:p>
        </w:tc>
      </w:tr>
      <w:tr w:rsidR="000C2CB2" w:rsidTr="00566469">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38</w:t>
            </w:r>
          </w:p>
        </w:tc>
        <w:tc>
          <w:tcPr>
            <w:tcW w:w="2396" w:type="dxa"/>
            <w:tcBorders>
              <w:top w:val="single" w:sz="4" w:space="0" w:color="auto"/>
              <w:left w:val="single" w:sz="4" w:space="0" w:color="auto"/>
              <w:bottom w:val="single" w:sz="4" w:space="0" w:color="auto"/>
              <w:right w:val="single" w:sz="4" w:space="0" w:color="auto"/>
            </w:tcBorders>
          </w:tcPr>
          <w:p w:rsidR="000C2CB2" w:rsidRDefault="000C2CB2" w:rsidP="00566469">
            <w:pPr>
              <w:adjustRightInd w:val="0"/>
              <w:snapToGrid w:val="0"/>
              <w:spacing w:line="400" w:lineRule="exact"/>
              <w:jc w:val="left"/>
              <w:outlineLvl w:val="0"/>
              <w:rPr>
                <w:sz w:val="24"/>
              </w:rPr>
            </w:pPr>
            <w:r>
              <w:rPr>
                <w:rFonts w:hAnsi="宋体"/>
                <w:sz w:val="24"/>
              </w:rPr>
              <w:t>组织专业力量设计问卷，开展大样本网络调查，形成职业院校管理状态</w:t>
            </w:r>
            <w:r>
              <w:rPr>
                <w:sz w:val="24"/>
              </w:rPr>
              <w:t>“</w:t>
            </w:r>
            <w:r>
              <w:rPr>
                <w:rFonts w:hAnsi="宋体"/>
                <w:sz w:val="24"/>
              </w:rPr>
              <w:t>大数据</w:t>
            </w:r>
            <w:r>
              <w:rPr>
                <w:sz w:val="24"/>
              </w:rPr>
              <w:t>”</w:t>
            </w:r>
            <w:r>
              <w:rPr>
                <w:rFonts w:hAnsi="宋体"/>
                <w:sz w:val="24"/>
              </w:rPr>
              <w:t>及分析报告</w:t>
            </w:r>
          </w:p>
        </w:tc>
        <w:tc>
          <w:tcPr>
            <w:tcW w:w="3600"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rFonts w:hAnsi="宋体"/>
                <w:sz w:val="24"/>
              </w:rPr>
              <w:t>省教育厅</w:t>
            </w:r>
          </w:p>
        </w:tc>
        <w:tc>
          <w:tcPr>
            <w:tcW w:w="3144" w:type="dxa"/>
            <w:tcBorders>
              <w:top w:val="single" w:sz="4" w:space="0" w:color="auto"/>
              <w:left w:val="single" w:sz="4" w:space="0" w:color="auto"/>
              <w:bottom w:val="single" w:sz="4" w:space="0" w:color="auto"/>
              <w:right w:val="single" w:sz="4" w:space="0" w:color="auto"/>
            </w:tcBorders>
            <w:vAlign w:val="center"/>
          </w:tcPr>
          <w:p w:rsidR="000C2CB2" w:rsidRDefault="000C2CB2" w:rsidP="00566469">
            <w:pPr>
              <w:adjustRightInd w:val="0"/>
              <w:snapToGrid w:val="0"/>
              <w:spacing w:line="400" w:lineRule="exact"/>
              <w:jc w:val="center"/>
              <w:outlineLvl w:val="0"/>
              <w:rPr>
                <w:sz w:val="24"/>
              </w:rPr>
            </w:pPr>
            <w:r>
              <w:rPr>
                <w:sz w:val="24"/>
              </w:rPr>
              <w:t>2017</w:t>
            </w:r>
            <w:r>
              <w:rPr>
                <w:rFonts w:hAnsi="宋体"/>
                <w:sz w:val="24"/>
              </w:rPr>
              <w:t>年</w:t>
            </w:r>
            <w:r>
              <w:rPr>
                <w:sz w:val="24"/>
              </w:rPr>
              <w:t>12</w:t>
            </w:r>
            <w:r>
              <w:rPr>
                <w:rFonts w:hAnsi="宋体"/>
                <w:sz w:val="24"/>
              </w:rPr>
              <w:t>月底前完成</w:t>
            </w:r>
          </w:p>
        </w:tc>
      </w:tr>
    </w:tbl>
    <w:p w:rsidR="000C2CB2" w:rsidRDefault="000C2CB2" w:rsidP="000C2CB2">
      <w:pPr>
        <w:sectPr w:rsidR="000C2CB2">
          <w:pgSz w:w="11906" w:h="16838"/>
          <w:pgMar w:top="1440" w:right="1800" w:bottom="1440" w:left="1800" w:header="851" w:footer="992" w:gutter="0"/>
          <w:pgNumType w:fmt="numberInDash"/>
          <w:cols w:space="720"/>
          <w:docGrid w:type="lines" w:linePitch="312"/>
        </w:sectPr>
      </w:pPr>
    </w:p>
    <w:p w:rsidR="006E0417" w:rsidRPr="000C2CB2" w:rsidRDefault="006E0417" w:rsidP="000C2CB2"/>
    <w:sectPr w:rsidR="006E0417" w:rsidRPr="000C2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B2"/>
    <w:rsid w:val="000C2CB2"/>
    <w:rsid w:val="006E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2016-02-25T07:21:00Z</dcterms:created>
  <dcterms:modified xsi:type="dcterms:W3CDTF">2016-02-25T07:22:00Z</dcterms:modified>
</cp:coreProperties>
</file>