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60" w:lineRule="exact"/>
        <w:jc w:val="center"/>
        <w:outlineLvl w:val="0"/>
        <w:rPr>
          <w:rFonts w:hint="eastAsia" w:ascii="方正小标宋简体" w:hAnsi="黑体" w:eastAsia="方正小标宋简体" w:cs="华文宋体"/>
          <w:sz w:val="44"/>
          <w:szCs w:val="44"/>
        </w:rPr>
      </w:pPr>
      <w:r>
        <w:rPr>
          <w:rFonts w:hint="eastAsia" w:ascii="方正小标宋简体" w:hAnsi="黑体" w:eastAsia="方正小标宋简体" w:cs="华文宋体"/>
          <w:sz w:val="44"/>
          <w:szCs w:val="44"/>
        </w:rPr>
        <w:t>重点任务分工及进度安排表</w:t>
      </w:r>
    </w:p>
    <w:p>
      <w:pPr>
        <w:adjustRightInd w:val="0"/>
        <w:snapToGrid w:val="0"/>
        <w:jc w:val="center"/>
        <w:outlineLvl w:val="0"/>
        <w:rPr>
          <w:rFonts w:hint="eastAsia" w:ascii="仿宋" w:hAnsi="仿宋" w:eastAsia="仿宋" w:cs="华文宋体"/>
          <w:b/>
          <w:szCs w:val="21"/>
        </w:rPr>
      </w:pPr>
    </w:p>
    <w:p>
      <w:pPr>
        <w:adjustRightInd w:val="0"/>
        <w:snapToGrid w:val="0"/>
        <w:jc w:val="center"/>
        <w:outlineLvl w:val="0"/>
        <w:rPr>
          <w:rFonts w:ascii="仿宋" w:hAnsi="仿宋" w:eastAsia="仿宋" w:cs="华文宋体"/>
          <w:b/>
          <w:szCs w:val="21"/>
        </w:rPr>
      </w:pPr>
    </w:p>
    <w:tbl>
      <w:tblPr>
        <w:tblStyle w:val="3"/>
        <w:tblW w:w="13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831"/>
        <w:gridCol w:w="2269"/>
        <w:gridCol w:w="3671"/>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22"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序号</w:t>
            </w:r>
          </w:p>
        </w:tc>
        <w:tc>
          <w:tcPr>
            <w:tcW w:w="2831"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重点任务</w:t>
            </w:r>
          </w:p>
        </w:tc>
        <w:tc>
          <w:tcPr>
            <w:tcW w:w="2269"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责任主体</w:t>
            </w:r>
          </w:p>
        </w:tc>
        <w:tc>
          <w:tcPr>
            <w:tcW w:w="3671"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时间进度</w:t>
            </w:r>
          </w:p>
        </w:tc>
        <w:tc>
          <w:tcPr>
            <w:tcW w:w="3960" w:type="dxa"/>
            <w:vAlign w:val="center"/>
          </w:tcPr>
          <w:p>
            <w:pPr>
              <w:adjustRightInd w:val="0"/>
              <w:snapToGrid w:val="0"/>
              <w:spacing w:line="240" w:lineRule="atLeast"/>
              <w:jc w:val="center"/>
              <w:outlineLvl w:val="0"/>
              <w:rPr>
                <w:rFonts w:hint="eastAsia" w:ascii="黑体" w:hAnsi="黑体" w:eastAsia="黑体" w:cs="华文宋体"/>
                <w:sz w:val="24"/>
              </w:rPr>
            </w:pPr>
            <w:r>
              <w:rPr>
                <w:rFonts w:hint="eastAsia" w:ascii="黑体" w:hAnsi="黑体" w:eastAsia="黑体" w:cs="华文宋体"/>
                <w:sz w:val="24"/>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3453" w:type="dxa"/>
            <w:gridSpan w:val="5"/>
            <w:vAlign w:val="top"/>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一、突出问题专项治理行动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w:t>
            </w:r>
          </w:p>
        </w:tc>
        <w:tc>
          <w:tcPr>
            <w:tcW w:w="2831" w:type="dxa"/>
            <w:vAlign w:val="top"/>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诚信招生承诺活动</w:t>
            </w:r>
          </w:p>
        </w:tc>
        <w:tc>
          <w:tcPr>
            <w:tcW w:w="2269"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eastAsia="仿宋_GB2312"/>
                <w:sz w:val="24"/>
              </w:rPr>
              <w:t>2016</w:t>
            </w:r>
            <w:r>
              <w:rPr>
                <w:rFonts w:hint="eastAsia" w:ascii="仿宋_GB2312" w:hAnsi="仿宋" w:eastAsia="仿宋_GB2312"/>
                <w:sz w:val="24"/>
              </w:rPr>
              <w:t>年12月底前完成</w:t>
            </w:r>
          </w:p>
        </w:tc>
        <w:tc>
          <w:tcPr>
            <w:tcW w:w="3960" w:type="dxa"/>
            <w:vAlign w:val="top"/>
          </w:tcPr>
          <w:p>
            <w:pPr>
              <w:adjustRightInd w:val="0"/>
              <w:snapToGrid w:val="0"/>
              <w:spacing w:line="240" w:lineRule="atLeast"/>
              <w:outlineLvl w:val="0"/>
              <w:rPr>
                <w:rFonts w:hint="eastAsia" w:ascii="仿宋_GB2312" w:eastAsia="仿宋_GB2312"/>
                <w:szCs w:val="21"/>
              </w:rPr>
            </w:pPr>
            <w:r>
              <w:rPr>
                <w:rFonts w:hint="eastAsia" w:ascii="仿宋_GB2312" w:eastAsia="仿宋_GB2312"/>
                <w:szCs w:val="21"/>
              </w:rPr>
              <w:t>学校主要领导和招生工作相关人员签订招生责任书。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w:t>
            </w:r>
          </w:p>
        </w:tc>
        <w:tc>
          <w:tcPr>
            <w:tcW w:w="2831" w:type="dxa"/>
            <w:vAlign w:val="top"/>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学籍信息核查活动</w:t>
            </w:r>
          </w:p>
        </w:tc>
        <w:tc>
          <w:tcPr>
            <w:tcW w:w="2269"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hAnsi="仿宋" w:eastAsia="仿宋_GB2312"/>
                <w:sz w:val="24"/>
              </w:rPr>
              <w:t>各职业院校</w:t>
            </w:r>
          </w:p>
        </w:tc>
        <w:tc>
          <w:tcPr>
            <w:tcW w:w="3671" w:type="dxa"/>
            <w:vAlign w:val="top"/>
          </w:tcPr>
          <w:p>
            <w:pPr>
              <w:adjustRightInd w:val="0"/>
              <w:snapToGrid w:val="0"/>
              <w:spacing w:line="240" w:lineRule="atLeast"/>
              <w:jc w:val="center"/>
              <w:outlineLvl w:val="0"/>
              <w:rPr>
                <w:rFonts w:ascii="仿宋_GB2312" w:eastAsia="仿宋_GB2312"/>
                <w:b/>
                <w:sz w:val="24"/>
              </w:rPr>
            </w:pPr>
            <w:r>
              <w:rPr>
                <w:rFonts w:hint="eastAsia" w:ascii="仿宋_GB2312" w:eastAsia="仿宋_GB2312"/>
                <w:sz w:val="24"/>
              </w:rPr>
              <w:t>2016</w:t>
            </w:r>
            <w:r>
              <w:rPr>
                <w:rFonts w:hint="eastAsia" w:ascii="仿宋_GB2312" w:hAnsi="仿宋" w:eastAsia="仿宋_GB2312"/>
                <w:sz w:val="24"/>
              </w:rPr>
              <w:t>年12月底前完成</w:t>
            </w:r>
          </w:p>
        </w:tc>
        <w:tc>
          <w:tcPr>
            <w:tcW w:w="3960" w:type="dxa"/>
            <w:vAlign w:val="top"/>
          </w:tcPr>
          <w:p>
            <w:pPr>
              <w:spacing w:line="240" w:lineRule="atLeast"/>
              <w:rPr>
                <w:rFonts w:hint="eastAsia" w:ascii="仿宋_GB2312" w:eastAsia="仿宋_GB2312"/>
                <w:szCs w:val="21"/>
              </w:rPr>
            </w:pPr>
            <w:r>
              <w:rPr>
                <w:rFonts w:hint="eastAsia" w:ascii="仿宋_GB2312" w:eastAsia="仿宋_GB2312"/>
                <w:szCs w:val="21"/>
              </w:rPr>
              <w:t>明确校长为第一责任人，各级教育行政部门每年定期组织学籍检查。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3</w:t>
            </w:r>
          </w:p>
        </w:tc>
        <w:tc>
          <w:tcPr>
            <w:tcW w:w="2831" w:type="dxa"/>
            <w:vAlign w:val="top"/>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教学标准落地活动</w:t>
            </w:r>
          </w:p>
        </w:tc>
        <w:tc>
          <w:tcPr>
            <w:tcW w:w="2269"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hAnsi="仿宋" w:eastAsia="仿宋_GB2312"/>
                <w:sz w:val="24"/>
              </w:rPr>
              <w:t>各级教育行政部门、各职业院校</w:t>
            </w:r>
          </w:p>
        </w:tc>
        <w:tc>
          <w:tcPr>
            <w:tcW w:w="3671" w:type="dxa"/>
            <w:vAlign w:val="top"/>
          </w:tcPr>
          <w:p>
            <w:pPr>
              <w:adjustRightInd w:val="0"/>
              <w:snapToGrid w:val="0"/>
              <w:spacing w:line="240" w:lineRule="atLeast"/>
              <w:jc w:val="center"/>
              <w:outlineLvl w:val="0"/>
              <w:rPr>
                <w:rFonts w:ascii="仿宋_GB2312" w:eastAsia="仿宋_GB2312"/>
                <w:b/>
                <w:sz w:val="24"/>
              </w:rPr>
            </w:pPr>
            <w:r>
              <w:rPr>
                <w:rFonts w:hint="eastAsia" w:ascii="仿宋_GB2312" w:eastAsia="仿宋_GB2312"/>
                <w:sz w:val="24"/>
              </w:rPr>
              <w:t>2016</w:t>
            </w:r>
            <w:r>
              <w:rPr>
                <w:rFonts w:hint="eastAsia" w:ascii="仿宋_GB2312" w:hAnsi="仿宋" w:eastAsia="仿宋_GB2312"/>
                <w:sz w:val="24"/>
              </w:rPr>
              <w:t>年12月底前完成</w:t>
            </w:r>
          </w:p>
        </w:tc>
        <w:tc>
          <w:tcPr>
            <w:tcW w:w="3960" w:type="dxa"/>
            <w:vAlign w:val="top"/>
          </w:tcPr>
          <w:p>
            <w:pPr>
              <w:adjustRightInd w:val="0"/>
              <w:snapToGrid w:val="0"/>
              <w:spacing w:line="240" w:lineRule="atLeast"/>
              <w:outlineLvl w:val="0"/>
              <w:rPr>
                <w:rFonts w:hint="eastAsia" w:ascii="仿宋_GB2312" w:eastAsia="仿宋_GB2312"/>
                <w:szCs w:val="21"/>
              </w:rPr>
            </w:pPr>
            <w:r>
              <w:rPr>
                <w:rFonts w:hint="eastAsia" w:ascii="仿宋_GB2312" w:eastAsia="仿宋_GB2312"/>
                <w:szCs w:val="21"/>
              </w:rPr>
              <w:t>各级教育行政部门定期开展教学标准实施情况检查。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4</w:t>
            </w:r>
          </w:p>
        </w:tc>
        <w:tc>
          <w:tcPr>
            <w:tcW w:w="2831" w:type="dxa"/>
            <w:vAlign w:val="top"/>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实习管理规范活动</w:t>
            </w:r>
          </w:p>
        </w:tc>
        <w:tc>
          <w:tcPr>
            <w:tcW w:w="2269" w:type="dxa"/>
            <w:vAlign w:val="top"/>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各职业院校</w:t>
            </w:r>
          </w:p>
        </w:tc>
        <w:tc>
          <w:tcPr>
            <w:tcW w:w="3671" w:type="dxa"/>
            <w:vAlign w:val="top"/>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c>
          <w:tcPr>
            <w:tcW w:w="3960" w:type="dxa"/>
            <w:vAlign w:val="top"/>
          </w:tcPr>
          <w:p>
            <w:pPr>
              <w:adjustRightInd w:val="0"/>
              <w:snapToGrid w:val="0"/>
              <w:spacing w:line="240" w:lineRule="atLeast"/>
              <w:outlineLvl w:val="0"/>
              <w:rPr>
                <w:rFonts w:hint="eastAsia" w:ascii="仿宋_GB2312" w:eastAsia="仿宋_GB2312"/>
                <w:szCs w:val="21"/>
              </w:rPr>
            </w:pPr>
            <w:r>
              <w:rPr>
                <w:rFonts w:hint="eastAsia" w:ascii="仿宋_GB2312" w:eastAsia="仿宋_GB2312"/>
                <w:szCs w:val="21"/>
              </w:rPr>
              <w:t>各级教育行政部门定期开展实习管理规定落实情况检查。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5</w:t>
            </w:r>
          </w:p>
        </w:tc>
        <w:tc>
          <w:tcPr>
            <w:tcW w:w="2831" w:type="dxa"/>
            <w:vAlign w:val="top"/>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平安校园创建活动</w:t>
            </w:r>
          </w:p>
        </w:tc>
        <w:tc>
          <w:tcPr>
            <w:tcW w:w="2269" w:type="dxa"/>
            <w:vAlign w:val="top"/>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各职业院校</w:t>
            </w:r>
          </w:p>
        </w:tc>
        <w:tc>
          <w:tcPr>
            <w:tcW w:w="3671" w:type="dxa"/>
            <w:vAlign w:val="top"/>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c>
          <w:tcPr>
            <w:tcW w:w="3960" w:type="dxa"/>
            <w:vAlign w:val="top"/>
          </w:tcPr>
          <w:p>
            <w:pPr>
              <w:adjustRightInd w:val="0"/>
              <w:snapToGrid w:val="0"/>
              <w:spacing w:line="240" w:lineRule="atLeast"/>
              <w:outlineLvl w:val="0"/>
              <w:rPr>
                <w:rFonts w:hint="eastAsia" w:ascii="仿宋_GB2312" w:eastAsia="仿宋_GB2312"/>
                <w:szCs w:val="21"/>
              </w:rPr>
            </w:pPr>
            <w:r>
              <w:rPr>
                <w:rFonts w:hint="eastAsia" w:ascii="仿宋_GB2312" w:eastAsia="仿宋_GB2312"/>
                <w:szCs w:val="21"/>
              </w:rPr>
              <w:t>各级教育行政部门定期开展平安校园创建情况检查。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6</w:t>
            </w:r>
          </w:p>
        </w:tc>
        <w:tc>
          <w:tcPr>
            <w:tcW w:w="2831" w:type="dxa"/>
            <w:vAlign w:val="top"/>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财务管理规范活动</w:t>
            </w:r>
          </w:p>
        </w:tc>
        <w:tc>
          <w:tcPr>
            <w:tcW w:w="2269" w:type="dxa"/>
            <w:vAlign w:val="top"/>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各职业院校</w:t>
            </w:r>
          </w:p>
        </w:tc>
        <w:tc>
          <w:tcPr>
            <w:tcW w:w="3671"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c>
          <w:tcPr>
            <w:tcW w:w="3960" w:type="dxa"/>
            <w:vAlign w:val="top"/>
          </w:tcPr>
          <w:p>
            <w:pPr>
              <w:adjustRightInd w:val="0"/>
              <w:snapToGrid w:val="0"/>
              <w:spacing w:line="240" w:lineRule="atLeast"/>
              <w:outlineLvl w:val="0"/>
              <w:rPr>
                <w:rFonts w:hint="eastAsia" w:ascii="仿宋_GB2312" w:eastAsia="仿宋_GB2312"/>
                <w:sz w:val="24"/>
              </w:rPr>
            </w:pPr>
            <w:r>
              <w:rPr>
                <w:rFonts w:hint="eastAsia" w:ascii="仿宋_GB2312" w:eastAsia="仿宋_GB2312"/>
                <w:szCs w:val="21"/>
              </w:rPr>
              <w:t>各级教育行政部门</w:t>
            </w:r>
            <w:r>
              <w:rPr>
                <w:rFonts w:hint="eastAsia" w:ascii="仿宋_GB2312" w:eastAsia="仿宋_GB2312"/>
                <w:sz w:val="24"/>
              </w:rPr>
              <w:t>推动学校建立内外部结合的控制机制。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7</w:t>
            </w:r>
          </w:p>
        </w:tc>
        <w:tc>
          <w:tcPr>
            <w:tcW w:w="2831" w:type="dxa"/>
            <w:vAlign w:val="top"/>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督促专项治理行动落实并建立长效机制</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各级教育行政部门</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c>
          <w:tcPr>
            <w:tcW w:w="3960" w:type="dxa"/>
            <w:vAlign w:val="center"/>
          </w:tcPr>
          <w:p>
            <w:pPr>
              <w:adjustRightInd w:val="0"/>
              <w:snapToGrid w:val="0"/>
              <w:spacing w:line="240" w:lineRule="atLeast"/>
              <w:outlineLvl w:val="0"/>
              <w:rPr>
                <w:rFonts w:hint="eastAsia" w:ascii="仿宋_GB2312" w:eastAsia="仿宋_GB2312"/>
                <w:szCs w:val="21"/>
              </w:rPr>
            </w:pPr>
            <w:r>
              <w:rPr>
                <w:rFonts w:hint="eastAsia" w:ascii="仿宋_GB2312" w:eastAsia="仿宋_GB2312"/>
                <w:szCs w:val="21"/>
              </w:rPr>
              <w:t>各级教育行政部门形成各级联动督查长效机制。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3453" w:type="dxa"/>
            <w:gridSpan w:val="5"/>
            <w:vAlign w:val="top"/>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二、管理制度标准建设行动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8</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学校章程建设</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outlineLvl w:val="0"/>
              <w:rPr>
                <w:rFonts w:ascii="仿宋_GB2312" w:eastAsia="仿宋_GB2312"/>
                <w:sz w:val="24"/>
              </w:rPr>
            </w:pPr>
            <w:r>
              <w:rPr>
                <w:rFonts w:hint="eastAsia" w:ascii="仿宋_GB2312" w:eastAsia="仿宋_GB2312"/>
                <w:szCs w:val="21"/>
              </w:rPr>
              <w:t>高职院校2015年底前完成，中职示范校2016年12月底前完成</w:t>
            </w:r>
          </w:p>
        </w:tc>
        <w:tc>
          <w:tcPr>
            <w:tcW w:w="3960" w:type="dxa"/>
            <w:vAlign w:val="top"/>
          </w:tcPr>
          <w:p>
            <w:pPr>
              <w:adjustRightInd w:val="0"/>
              <w:snapToGrid w:val="0"/>
              <w:spacing w:line="240" w:lineRule="atLeast"/>
              <w:outlineLvl w:val="0"/>
              <w:rPr>
                <w:rFonts w:hint="eastAsia" w:ascii="仿宋_GB2312" w:eastAsia="仿宋_GB2312"/>
                <w:szCs w:val="21"/>
              </w:rPr>
            </w:pPr>
            <w:r>
              <w:rPr>
                <w:rFonts w:hint="eastAsia" w:ascii="仿宋_GB2312" w:eastAsia="仿宋_GB2312"/>
                <w:szCs w:val="21"/>
              </w:rPr>
              <w:t>省级教育行政部门建立章程建设面向社会公开发布制度。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top"/>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9</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完善内部管理制度</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2018</w:t>
            </w:r>
            <w:r>
              <w:rPr>
                <w:rFonts w:hint="eastAsia" w:ascii="仿宋_GB2312" w:hAnsi="仿宋" w:eastAsia="仿宋_GB2312"/>
                <w:sz w:val="24"/>
              </w:rPr>
              <w:t>年6月底前完成</w:t>
            </w:r>
          </w:p>
        </w:tc>
        <w:tc>
          <w:tcPr>
            <w:tcW w:w="3960" w:type="dxa"/>
            <w:vAlign w:val="top"/>
          </w:tcPr>
          <w:p>
            <w:pPr>
              <w:adjustRightInd w:val="0"/>
              <w:snapToGrid w:val="0"/>
              <w:spacing w:line="240" w:lineRule="atLeast"/>
              <w:outlineLvl w:val="0"/>
              <w:rPr>
                <w:rFonts w:hint="eastAsia" w:ascii="仿宋_GB2312" w:eastAsia="仿宋_GB2312"/>
                <w:sz w:val="24"/>
              </w:rPr>
            </w:pPr>
            <w:r>
              <w:rPr>
                <w:rFonts w:hint="eastAsia" w:ascii="仿宋_GB2312" w:eastAsia="仿宋_GB2312"/>
                <w:szCs w:val="21"/>
              </w:rPr>
              <w:t>各级教育行政部门定期组织经验交流活动。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10</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搭建章程建设和完善内部管理制度的交流、咨询和服务平台，组织研制管理指导手册</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各级教育行政部门</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2018</w:t>
            </w:r>
            <w:r>
              <w:rPr>
                <w:rFonts w:hint="eastAsia" w:ascii="仿宋_GB2312" w:hAnsi="仿宋" w:eastAsia="仿宋_GB2312"/>
                <w:sz w:val="24"/>
              </w:rPr>
              <w:t>年6月底前完成</w:t>
            </w:r>
          </w:p>
        </w:tc>
        <w:tc>
          <w:tcPr>
            <w:tcW w:w="3960" w:type="dxa"/>
            <w:vAlign w:val="top"/>
          </w:tcPr>
          <w:p>
            <w:pPr>
              <w:adjustRightInd w:val="0"/>
              <w:snapToGrid w:val="0"/>
              <w:spacing w:line="240" w:lineRule="atLeast"/>
              <w:outlineLvl w:val="0"/>
              <w:rPr>
                <w:rFonts w:hint="eastAsia" w:ascii="仿宋_GB2312" w:eastAsia="仿宋_GB2312"/>
                <w:sz w:val="24"/>
              </w:rPr>
            </w:pPr>
            <w:r>
              <w:rPr>
                <w:rFonts w:hint="eastAsia" w:ascii="仿宋_GB2312" w:eastAsia="仿宋_GB2312"/>
                <w:szCs w:val="21"/>
              </w:rPr>
              <w:t>各级教育行政部门在一定范围内组织经验交流活动，推动各职业院校成立制度标准建设协作组。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3453" w:type="dxa"/>
            <w:gridSpan w:val="5"/>
            <w:vAlign w:val="center"/>
          </w:tcPr>
          <w:p>
            <w:pPr>
              <w:adjustRightInd w:val="0"/>
              <w:snapToGrid w:val="0"/>
              <w:spacing w:line="240" w:lineRule="atLeast"/>
              <w:jc w:val="center"/>
              <w:outlineLvl w:val="0"/>
              <w:rPr>
                <w:rFonts w:hint="eastAsia" w:ascii="仿宋_GB2312" w:hAnsi="仿宋" w:eastAsia="仿宋_GB2312" w:cs="华文宋体"/>
                <w:sz w:val="24"/>
              </w:rPr>
            </w:pPr>
            <w:r>
              <w:rPr>
                <w:rFonts w:hint="eastAsia" w:ascii="黑体" w:hAnsi="黑体" w:eastAsia="黑体" w:cs="华文宋体"/>
                <w:sz w:val="24"/>
              </w:rPr>
              <w:t>三、管理队伍能力建设行动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11</w:t>
            </w:r>
          </w:p>
        </w:tc>
        <w:tc>
          <w:tcPr>
            <w:tcW w:w="2831"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细化院校长和其他管理人员能力要求，开展培养培训</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c>
          <w:tcPr>
            <w:tcW w:w="3960" w:type="dxa"/>
            <w:vMerge w:val="restart"/>
            <w:vAlign w:val="center"/>
          </w:tcPr>
          <w:p>
            <w:pPr>
              <w:adjustRightInd w:val="0"/>
              <w:snapToGrid w:val="0"/>
              <w:spacing w:line="240" w:lineRule="atLeast"/>
              <w:jc w:val="center"/>
              <w:outlineLvl w:val="0"/>
              <w:rPr>
                <w:rFonts w:hint="eastAsia" w:ascii="仿宋_GB2312" w:eastAsia="仿宋_GB2312"/>
                <w:szCs w:val="21"/>
              </w:rPr>
            </w:pPr>
            <w:r>
              <w:rPr>
                <w:rFonts w:hint="eastAsia" w:ascii="仿宋_GB2312" w:eastAsia="仿宋_GB2312"/>
                <w:szCs w:val="21"/>
              </w:rPr>
              <w:t>各级教育行政部门统筹实施各层次培训计划，定期组织各类经验交流活动。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12</w:t>
            </w:r>
          </w:p>
        </w:tc>
        <w:tc>
          <w:tcPr>
            <w:tcW w:w="2831"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sz w:val="24"/>
              </w:rPr>
              <w:t>组织开展管理经验交流和培训活动</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各级教育行政部门</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c>
          <w:tcPr>
            <w:tcW w:w="3960" w:type="dxa"/>
            <w:vMerge w:val="continue"/>
            <w:vAlign w:val="top"/>
          </w:tcPr>
          <w:p>
            <w:pPr>
              <w:adjustRightInd w:val="0"/>
              <w:snapToGrid w:val="0"/>
              <w:spacing w:line="240" w:lineRule="atLeast"/>
              <w:outlineLvl w:val="0"/>
              <w:rPr>
                <w:rFonts w:hint="eastAsia" w:ascii="仿宋_GB2312" w:hAnsi="仿宋" w:eastAsia="仿宋_GB2312"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3453" w:type="dxa"/>
            <w:gridSpan w:val="5"/>
            <w:vAlign w:val="center"/>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四、管理信息化水平提升行动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13</w:t>
            </w:r>
          </w:p>
        </w:tc>
        <w:tc>
          <w:tcPr>
            <w:tcW w:w="2831"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制订和完善数字校园建设规划，建立健全管理信息系统应用和技术支持服务体系</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2017</w:t>
            </w:r>
            <w:r>
              <w:rPr>
                <w:rFonts w:hint="eastAsia" w:ascii="仿宋_GB2312" w:hAnsi="仿宋" w:eastAsia="仿宋_GB2312"/>
                <w:sz w:val="24"/>
              </w:rPr>
              <w:t>年12月底前完成</w:t>
            </w:r>
          </w:p>
        </w:tc>
        <w:tc>
          <w:tcPr>
            <w:tcW w:w="3960" w:type="dxa"/>
            <w:vMerge w:val="restart"/>
            <w:vAlign w:val="center"/>
          </w:tcPr>
          <w:p>
            <w:pPr>
              <w:adjustRightInd w:val="0"/>
              <w:snapToGrid w:val="0"/>
              <w:spacing w:line="240" w:lineRule="atLeast"/>
              <w:outlineLvl w:val="0"/>
              <w:rPr>
                <w:rFonts w:hint="eastAsia" w:ascii="仿宋_GB2312" w:eastAsia="仿宋_GB2312"/>
                <w:sz w:val="24"/>
              </w:rPr>
            </w:pPr>
            <w:r>
              <w:rPr>
                <w:rFonts w:hint="eastAsia" w:ascii="仿宋_GB2312" w:eastAsia="仿宋_GB2312"/>
                <w:szCs w:val="21"/>
              </w:rPr>
              <w:t>各级教育行政部门推动学校成立专门机构，配备专职人员；明确时间节点，完成数字化校园规划。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14</w:t>
            </w:r>
          </w:p>
        </w:tc>
        <w:tc>
          <w:tcPr>
            <w:tcW w:w="2831"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强化管理人员信息化意识和应用能力培养</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c>
          <w:tcPr>
            <w:tcW w:w="3960" w:type="dxa"/>
            <w:vMerge w:val="continue"/>
            <w:vAlign w:val="center"/>
          </w:tcPr>
          <w:p>
            <w:pPr>
              <w:adjustRightInd w:val="0"/>
              <w:snapToGrid w:val="0"/>
              <w:spacing w:line="240" w:lineRule="atLeast"/>
              <w:jc w:val="center"/>
              <w:outlineLvl w:val="0"/>
              <w:rPr>
                <w:rFonts w:hint="eastAsia" w:ascii="仿宋_GB2312" w:hAnsi="仿宋" w:eastAsia="仿宋_GB2312"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15</w:t>
            </w:r>
          </w:p>
        </w:tc>
        <w:tc>
          <w:tcPr>
            <w:tcW w:w="2831"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组织开展信息化管理创新经验交流与现场观摩等活动</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各级教育行政部门</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2017</w:t>
            </w:r>
            <w:r>
              <w:rPr>
                <w:rFonts w:hint="eastAsia" w:ascii="仿宋_GB2312" w:hAnsi="仿宋" w:eastAsia="仿宋_GB2312"/>
                <w:sz w:val="24"/>
              </w:rPr>
              <w:t>年12月底前完成</w:t>
            </w:r>
          </w:p>
        </w:tc>
        <w:tc>
          <w:tcPr>
            <w:tcW w:w="3960" w:type="dxa"/>
            <w:vAlign w:val="center"/>
          </w:tcPr>
          <w:p>
            <w:pPr>
              <w:adjustRightInd w:val="0"/>
              <w:snapToGrid w:val="0"/>
              <w:spacing w:line="240" w:lineRule="atLeast"/>
              <w:jc w:val="left"/>
              <w:outlineLvl w:val="0"/>
              <w:rPr>
                <w:rFonts w:hint="eastAsia" w:ascii="仿宋_GB2312" w:eastAsia="仿宋_GB2312"/>
                <w:sz w:val="24"/>
              </w:rPr>
            </w:pPr>
            <w:r>
              <w:rPr>
                <w:rFonts w:hint="eastAsia" w:ascii="仿宋_GB2312" w:eastAsia="仿宋_GB2312"/>
                <w:szCs w:val="21"/>
              </w:rPr>
              <w:t>各级教育行政部门定期组织经验交流与现场观摩活动。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3453" w:type="dxa"/>
            <w:gridSpan w:val="5"/>
            <w:vAlign w:val="center"/>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五、学校文化育人创新行动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16</w:t>
            </w:r>
          </w:p>
        </w:tc>
        <w:tc>
          <w:tcPr>
            <w:tcW w:w="2831"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pacing w:val="-4"/>
                <w:sz w:val="24"/>
              </w:rPr>
              <w:t>组织开展学校核心文化、优秀学生社团等遴选展示活动</w:t>
            </w:r>
          </w:p>
        </w:tc>
        <w:tc>
          <w:tcPr>
            <w:tcW w:w="2269" w:type="dxa"/>
            <w:vAlign w:val="center"/>
          </w:tcPr>
          <w:p>
            <w:pPr>
              <w:adjustRightInd w:val="0"/>
              <w:snapToGrid w:val="0"/>
              <w:spacing w:line="240" w:lineRule="atLeast"/>
              <w:jc w:val="center"/>
              <w:outlineLvl w:val="0"/>
              <w:rPr>
                <w:rFonts w:hint="eastAsia" w:ascii="仿宋_GB2312" w:hAnsi="仿宋" w:eastAsia="仿宋_GB2312"/>
                <w:sz w:val="24"/>
              </w:rPr>
            </w:pPr>
            <w:r>
              <w:rPr>
                <w:rFonts w:hint="eastAsia" w:ascii="仿宋_GB2312" w:hAnsi="仿宋" w:eastAsia="仿宋_GB2312"/>
                <w:sz w:val="24"/>
              </w:rPr>
              <w:t>各级教育行政部门</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c>
          <w:tcPr>
            <w:tcW w:w="3960" w:type="dxa"/>
            <w:vMerge w:val="restart"/>
            <w:vAlign w:val="center"/>
          </w:tcPr>
          <w:p>
            <w:pPr>
              <w:adjustRightInd w:val="0"/>
              <w:snapToGrid w:val="0"/>
              <w:spacing w:line="240" w:lineRule="atLeast"/>
              <w:outlineLvl w:val="0"/>
              <w:rPr>
                <w:rFonts w:hint="eastAsia" w:ascii="仿宋_GB2312" w:eastAsia="仿宋_GB2312"/>
                <w:sz w:val="24"/>
              </w:rPr>
            </w:pPr>
            <w:r>
              <w:rPr>
                <w:rFonts w:hint="eastAsia" w:ascii="仿宋_GB2312" w:eastAsia="仿宋_GB2312"/>
                <w:szCs w:val="21"/>
              </w:rPr>
              <w:t>各级教育行政部门推动学校提交典型案例，在一定范围内进行宣传、展示。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17</w:t>
            </w:r>
          </w:p>
        </w:tc>
        <w:tc>
          <w:tcPr>
            <w:tcW w:w="2831"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z w:val="24"/>
              </w:rPr>
              <w:t>开展优秀文化进校园、学生自主发展能力培养等系列主题活动</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c>
          <w:tcPr>
            <w:tcW w:w="3960" w:type="dxa"/>
            <w:vMerge w:val="continue"/>
            <w:vAlign w:val="center"/>
          </w:tcPr>
          <w:p>
            <w:pPr>
              <w:adjustRightInd w:val="0"/>
              <w:snapToGrid w:val="0"/>
              <w:spacing w:line="240" w:lineRule="atLeast"/>
              <w:jc w:val="center"/>
              <w:outlineLvl w:val="0"/>
              <w:rPr>
                <w:rFonts w:hint="eastAsia" w:ascii="仿宋_GB2312" w:hAnsi="仿宋" w:eastAsia="仿宋_GB2312"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453" w:type="dxa"/>
            <w:gridSpan w:val="5"/>
            <w:vAlign w:val="center"/>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六、质量保证体系完善行动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18</w:t>
            </w:r>
          </w:p>
        </w:tc>
        <w:tc>
          <w:tcPr>
            <w:tcW w:w="2831"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z w:val="24"/>
              </w:rPr>
              <w:t>建立健全质量监控体系，发布质量年度报告</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c>
          <w:tcPr>
            <w:tcW w:w="3960" w:type="dxa"/>
            <w:vAlign w:val="top"/>
          </w:tcPr>
          <w:p>
            <w:pPr>
              <w:adjustRightInd w:val="0"/>
              <w:snapToGrid w:val="0"/>
              <w:spacing w:line="240" w:lineRule="atLeast"/>
              <w:outlineLvl w:val="0"/>
              <w:rPr>
                <w:rFonts w:hint="eastAsia" w:ascii="仿宋_GB2312" w:eastAsia="仿宋_GB2312"/>
                <w:sz w:val="24"/>
              </w:rPr>
            </w:pPr>
            <w:r>
              <w:rPr>
                <w:rFonts w:hint="eastAsia" w:ascii="仿宋_GB2312" w:eastAsia="仿宋_GB2312"/>
                <w:szCs w:val="21"/>
              </w:rPr>
              <w:t>省、市教育行政部门</w:t>
            </w:r>
            <w:r>
              <w:rPr>
                <w:rFonts w:hint="eastAsia" w:ascii="仿宋_GB2312" w:eastAsia="仿宋_GB2312"/>
                <w:sz w:val="24"/>
              </w:rPr>
              <w:t>定期调度学校质量年度报告发布情况。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19</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建立和完善预警机制，编制、发布职业教育质量年度报告</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省、市教育行政部门</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c>
          <w:tcPr>
            <w:tcW w:w="3960" w:type="dxa"/>
            <w:vAlign w:val="top"/>
          </w:tcPr>
          <w:p>
            <w:pPr>
              <w:adjustRightInd w:val="0"/>
              <w:snapToGrid w:val="0"/>
              <w:spacing w:line="240" w:lineRule="atLeast"/>
              <w:jc w:val="left"/>
              <w:outlineLvl w:val="0"/>
              <w:rPr>
                <w:rFonts w:hint="eastAsia" w:ascii="仿宋_GB2312" w:eastAsia="仿宋_GB2312"/>
                <w:sz w:val="24"/>
              </w:rPr>
            </w:pPr>
            <w:r>
              <w:rPr>
                <w:rFonts w:hint="eastAsia" w:ascii="仿宋_GB2312" w:eastAsia="仿宋_GB2312"/>
                <w:sz w:val="24"/>
              </w:rPr>
              <w:t>省、市教育行政部门每年定期组织专门力量，研制发布省级职业教育质量年度报告，推动各市参照省级做法。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20</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定期组织质量年报的合规性审查</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教育部</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c>
          <w:tcPr>
            <w:tcW w:w="3960" w:type="dxa"/>
            <w:vAlign w:val="center"/>
          </w:tcPr>
          <w:p>
            <w:pPr>
              <w:adjustRightInd w:val="0"/>
              <w:snapToGrid w:val="0"/>
              <w:spacing w:line="240" w:lineRule="atLeast"/>
              <w:jc w:val="center"/>
              <w:outlineLvl w:val="0"/>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3453" w:type="dxa"/>
            <w:gridSpan w:val="5"/>
            <w:vAlign w:val="center"/>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七、加强组织领导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21</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负责行动计划的总体设计、全面部署和对各地落实情况的监督指导</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教育部</w:t>
            </w:r>
          </w:p>
        </w:tc>
        <w:tc>
          <w:tcPr>
            <w:tcW w:w="3671"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持续实施</w:t>
            </w:r>
          </w:p>
        </w:tc>
        <w:tc>
          <w:tcPr>
            <w:tcW w:w="3960" w:type="dxa"/>
            <w:vMerge w:val="restart"/>
            <w:vAlign w:val="center"/>
          </w:tcPr>
          <w:p>
            <w:pPr>
              <w:adjustRightInd w:val="0"/>
              <w:snapToGrid w:val="0"/>
              <w:spacing w:line="240" w:lineRule="atLeast"/>
              <w:jc w:val="left"/>
              <w:outlineLvl w:val="0"/>
              <w:rPr>
                <w:rFonts w:hint="eastAsia" w:ascii="仿宋_GB2312" w:eastAsia="仿宋_GB2312"/>
                <w:sz w:val="24"/>
              </w:rPr>
            </w:pPr>
            <w:r>
              <w:rPr>
                <w:rFonts w:hint="eastAsia" w:ascii="仿宋_GB2312" w:eastAsia="仿宋_GB2312"/>
                <w:sz w:val="24"/>
                <w:szCs w:val="21"/>
              </w:rPr>
              <w:t>省教育厅督促各市教育局、各高职院校制定具体实施方案及年度推进计划。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22</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根据行动计划整体部署，对照《职业院校管理工作主要参考点》，制订工作方案和年度推进计划</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w:t>
            </w:r>
          </w:p>
        </w:tc>
        <w:tc>
          <w:tcPr>
            <w:tcW w:w="3960" w:type="dxa"/>
            <w:vMerge w:val="continue"/>
            <w:vAlign w:val="center"/>
          </w:tcPr>
          <w:p>
            <w:pPr>
              <w:adjustRightInd w:val="0"/>
              <w:snapToGrid w:val="0"/>
              <w:spacing w:line="240" w:lineRule="atLeast"/>
              <w:jc w:val="left"/>
              <w:outlineLvl w:val="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23</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各省行动计划实施方案报教育部备案</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省教育厅</w:t>
            </w:r>
          </w:p>
        </w:tc>
        <w:tc>
          <w:tcPr>
            <w:tcW w:w="3671"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w:t>
            </w:r>
          </w:p>
        </w:tc>
        <w:tc>
          <w:tcPr>
            <w:tcW w:w="3960" w:type="dxa"/>
            <w:vAlign w:val="center"/>
          </w:tcPr>
          <w:p>
            <w:pPr>
              <w:adjustRightInd w:val="0"/>
              <w:snapToGrid w:val="0"/>
              <w:spacing w:line="240" w:lineRule="atLeast"/>
              <w:jc w:val="center"/>
              <w:outlineLvl w:val="0"/>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3453" w:type="dxa"/>
            <w:gridSpan w:val="5"/>
            <w:vAlign w:val="center"/>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八、加强宣传发动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24</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开展行动计划以及国家职业教育有关政策法规和制度标准的宣传解读活动</w:t>
            </w:r>
          </w:p>
        </w:tc>
        <w:tc>
          <w:tcPr>
            <w:tcW w:w="2269" w:type="dxa"/>
            <w:vAlign w:val="center"/>
          </w:tcPr>
          <w:p>
            <w:pPr>
              <w:adjustRightInd w:val="0"/>
              <w:snapToGrid w:val="0"/>
              <w:spacing w:line="240" w:lineRule="atLeast"/>
              <w:jc w:val="center"/>
              <w:outlineLvl w:val="0"/>
              <w:rPr>
                <w:rFonts w:hint="eastAsia" w:ascii="仿宋_GB2312" w:hAnsi="仿宋" w:eastAsia="仿宋_GB2312"/>
                <w:sz w:val="24"/>
              </w:rPr>
            </w:pPr>
            <w:r>
              <w:rPr>
                <w:rFonts w:hint="eastAsia" w:ascii="仿宋_GB2312" w:hAnsi="仿宋" w:eastAsia="仿宋_GB2312"/>
                <w:sz w:val="24"/>
              </w:rPr>
              <w:t>各级教育行政部门</w:t>
            </w:r>
          </w:p>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各职业院校</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 xml:space="preserve">持续实施 </w:t>
            </w:r>
          </w:p>
        </w:tc>
        <w:tc>
          <w:tcPr>
            <w:tcW w:w="3960" w:type="dxa"/>
            <w:vAlign w:val="center"/>
          </w:tcPr>
          <w:p>
            <w:pPr>
              <w:adjustRightInd w:val="0"/>
              <w:snapToGrid w:val="0"/>
              <w:spacing w:line="240" w:lineRule="atLeast"/>
              <w:jc w:val="left"/>
              <w:outlineLvl w:val="0"/>
              <w:rPr>
                <w:rFonts w:hint="eastAsia" w:ascii="仿宋_GB2312" w:eastAsia="仿宋_GB2312"/>
                <w:sz w:val="24"/>
              </w:rPr>
            </w:pPr>
            <w:r>
              <w:rPr>
                <w:rFonts w:hint="eastAsia" w:ascii="仿宋_GB2312" w:eastAsia="仿宋_GB2312"/>
                <w:szCs w:val="21"/>
              </w:rPr>
              <w:t>各级教育行政部门</w:t>
            </w:r>
            <w:r>
              <w:rPr>
                <w:rFonts w:hint="eastAsia" w:ascii="仿宋_GB2312" w:eastAsia="仿宋_GB2312"/>
                <w:sz w:val="24"/>
                <w:szCs w:val="21"/>
              </w:rPr>
              <w:t>定期</w:t>
            </w:r>
            <w:r>
              <w:rPr>
                <w:rFonts w:hint="eastAsia" w:ascii="仿宋_GB2312" w:eastAsia="仿宋_GB2312"/>
                <w:sz w:val="24"/>
              </w:rPr>
              <w:t>组织专项督查。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25</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设立“职业院校管理水平提升行动计划”网络专栏，组织专家辅导、专题研讨等活动</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各级教育行政部门各职业院校</w:t>
            </w:r>
          </w:p>
        </w:tc>
        <w:tc>
          <w:tcPr>
            <w:tcW w:w="3671"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c>
          <w:tcPr>
            <w:tcW w:w="3960" w:type="dxa"/>
            <w:vAlign w:val="center"/>
          </w:tcPr>
          <w:p>
            <w:pPr>
              <w:adjustRightInd w:val="0"/>
              <w:snapToGrid w:val="0"/>
              <w:spacing w:line="240" w:lineRule="atLeast"/>
              <w:jc w:val="left"/>
              <w:outlineLvl w:val="0"/>
              <w:rPr>
                <w:rFonts w:hint="eastAsia" w:ascii="仿宋_GB2312" w:eastAsia="仿宋_GB2312"/>
                <w:sz w:val="24"/>
              </w:rPr>
            </w:pPr>
            <w:r>
              <w:rPr>
                <w:rFonts w:hint="eastAsia" w:ascii="仿宋_GB2312" w:eastAsia="仿宋_GB2312"/>
                <w:szCs w:val="21"/>
              </w:rPr>
              <w:t>各级教育行政部门</w:t>
            </w:r>
            <w:r>
              <w:rPr>
                <w:rFonts w:hint="eastAsia" w:ascii="仿宋_GB2312" w:eastAsia="仿宋_GB2312"/>
                <w:sz w:val="24"/>
                <w:szCs w:val="21"/>
              </w:rPr>
              <w:t>定期</w:t>
            </w:r>
            <w:r>
              <w:rPr>
                <w:rFonts w:hint="eastAsia" w:ascii="仿宋_GB2312" w:eastAsia="仿宋_GB2312"/>
                <w:sz w:val="24"/>
              </w:rPr>
              <w:t>组织专项督查。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3453" w:type="dxa"/>
            <w:gridSpan w:val="5"/>
            <w:vAlign w:val="center"/>
          </w:tcPr>
          <w:p>
            <w:pPr>
              <w:adjustRightInd w:val="0"/>
              <w:snapToGrid w:val="0"/>
              <w:spacing w:line="240" w:lineRule="atLeast"/>
              <w:ind w:firstLine="1200" w:firstLineChars="500"/>
              <w:jc w:val="center"/>
              <w:outlineLvl w:val="0"/>
              <w:rPr>
                <w:rFonts w:hint="eastAsia" w:ascii="仿宋_GB2312" w:eastAsia="仿宋_GB2312"/>
                <w:sz w:val="24"/>
              </w:rPr>
            </w:pPr>
            <w:r>
              <w:rPr>
                <w:rFonts w:hint="eastAsia" w:ascii="黑体" w:hAnsi="黑体" w:eastAsia="黑体" w:cs="华文宋体"/>
                <w:sz w:val="24"/>
              </w:rPr>
              <w:t>九、加强督促检查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26</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建立督查调研、情况通报、限期报告、跟踪问效等制度</w:t>
            </w:r>
          </w:p>
        </w:tc>
        <w:tc>
          <w:tcPr>
            <w:tcW w:w="2269"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z w:val="24"/>
              </w:rPr>
              <w:t>各级教育行政部门</w:t>
            </w:r>
          </w:p>
        </w:tc>
        <w:tc>
          <w:tcPr>
            <w:tcW w:w="3671" w:type="dxa"/>
            <w:vAlign w:val="center"/>
          </w:tcPr>
          <w:p>
            <w:pPr>
              <w:adjustRightInd w:val="0"/>
              <w:snapToGrid w:val="0"/>
              <w:spacing w:line="240" w:lineRule="atLeast"/>
              <w:ind w:firstLine="1200" w:firstLineChars="500"/>
              <w:outlineLvl w:val="0"/>
              <w:rPr>
                <w:rFonts w:ascii="仿宋_GB2312" w:hAnsi="仿宋" w:eastAsia="仿宋_GB2312" w:cs="华文宋体"/>
                <w:sz w:val="24"/>
              </w:rPr>
            </w:pPr>
            <w:r>
              <w:rPr>
                <w:rFonts w:hint="eastAsia" w:ascii="仿宋_GB2312" w:eastAsia="仿宋_GB2312"/>
                <w:sz w:val="24"/>
              </w:rPr>
              <w:t>持续实施</w:t>
            </w:r>
          </w:p>
        </w:tc>
        <w:tc>
          <w:tcPr>
            <w:tcW w:w="3960" w:type="dxa"/>
            <w:vMerge w:val="restart"/>
            <w:vAlign w:val="center"/>
          </w:tcPr>
          <w:p>
            <w:pPr>
              <w:adjustRightInd w:val="0"/>
              <w:snapToGrid w:val="0"/>
              <w:spacing w:line="240" w:lineRule="atLeast"/>
              <w:jc w:val="left"/>
              <w:outlineLvl w:val="0"/>
              <w:rPr>
                <w:rStyle w:val="4"/>
                <w:rFonts w:hint="eastAsia"/>
              </w:rPr>
            </w:pPr>
            <w:r>
              <w:rPr>
                <w:rFonts w:hint="eastAsia" w:ascii="仿宋_GB2312" w:eastAsia="仿宋_GB2312"/>
                <w:szCs w:val="21"/>
              </w:rPr>
              <w:t>各级教育行政部门</w:t>
            </w:r>
            <w:r>
              <w:rPr>
                <w:rFonts w:hint="eastAsia" w:ascii="仿宋_GB2312" w:eastAsia="仿宋_GB2312"/>
                <w:iCs/>
                <w:sz w:val="24"/>
              </w:rPr>
              <w:t>定期组织专项督查。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27</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建立行动计划实施进展情况简报、通报和重大问题限期整改报告制度，视情组织专项督查</w:t>
            </w:r>
          </w:p>
        </w:tc>
        <w:tc>
          <w:tcPr>
            <w:tcW w:w="2269"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cs="华文宋体"/>
                <w:sz w:val="24"/>
              </w:rPr>
              <w:t>教育部</w:t>
            </w:r>
          </w:p>
        </w:tc>
        <w:tc>
          <w:tcPr>
            <w:tcW w:w="3671" w:type="dxa"/>
            <w:vAlign w:val="center"/>
          </w:tcPr>
          <w:p>
            <w:pPr>
              <w:adjustRightInd w:val="0"/>
              <w:snapToGrid w:val="0"/>
              <w:spacing w:line="240" w:lineRule="atLeast"/>
              <w:ind w:firstLine="1200" w:firstLineChars="500"/>
              <w:outlineLvl w:val="0"/>
              <w:rPr>
                <w:rFonts w:ascii="仿宋_GB2312" w:hAnsi="仿宋" w:eastAsia="仿宋_GB2312" w:cs="华文宋体"/>
                <w:sz w:val="24"/>
              </w:rPr>
            </w:pPr>
            <w:r>
              <w:rPr>
                <w:rFonts w:hint="eastAsia" w:ascii="仿宋_GB2312" w:eastAsia="仿宋_GB2312"/>
                <w:sz w:val="24"/>
              </w:rPr>
              <w:t>持续实施</w:t>
            </w:r>
          </w:p>
        </w:tc>
        <w:tc>
          <w:tcPr>
            <w:tcW w:w="3960" w:type="dxa"/>
            <w:vMerge w:val="continue"/>
            <w:vAlign w:val="center"/>
          </w:tcPr>
          <w:p>
            <w:pPr>
              <w:adjustRightInd w:val="0"/>
              <w:snapToGrid w:val="0"/>
              <w:spacing w:line="240" w:lineRule="atLeast"/>
              <w:jc w:val="center"/>
              <w:outlineLvl w:val="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28</w:t>
            </w:r>
          </w:p>
        </w:tc>
        <w:tc>
          <w:tcPr>
            <w:tcW w:w="2831" w:type="dxa"/>
            <w:vAlign w:val="top"/>
          </w:tcPr>
          <w:p>
            <w:pPr>
              <w:adjustRightInd w:val="0"/>
              <w:snapToGrid w:val="0"/>
              <w:spacing w:line="240" w:lineRule="atLeast"/>
              <w:jc w:val="left"/>
              <w:outlineLvl w:val="0"/>
              <w:rPr>
                <w:rFonts w:ascii="仿宋_GB2312" w:eastAsia="仿宋_GB2312"/>
                <w:sz w:val="24"/>
              </w:rPr>
            </w:pPr>
            <w:r>
              <w:rPr>
                <w:rFonts w:hint="eastAsia" w:ascii="仿宋_GB2312" w:hAnsi="仿宋" w:eastAsia="仿宋_GB2312"/>
                <w:sz w:val="24"/>
              </w:rPr>
              <w:t>分类遴选职业院校管理</w:t>
            </w:r>
            <w:r>
              <w:rPr>
                <w:rFonts w:hint="eastAsia" w:ascii="仿宋_GB2312" w:eastAsia="仿宋_GB2312"/>
                <w:sz w:val="24"/>
              </w:rPr>
              <w:t>100</w:t>
            </w:r>
            <w:r>
              <w:rPr>
                <w:rFonts w:hint="eastAsia" w:ascii="仿宋_GB2312" w:hAnsi="仿宋" w:eastAsia="仿宋_GB2312"/>
                <w:sz w:val="24"/>
              </w:rPr>
              <w:t>强</w:t>
            </w:r>
          </w:p>
        </w:tc>
        <w:tc>
          <w:tcPr>
            <w:tcW w:w="2269" w:type="dxa"/>
            <w:vAlign w:val="center"/>
          </w:tcPr>
          <w:p>
            <w:pPr>
              <w:adjustRightInd w:val="0"/>
              <w:snapToGrid w:val="0"/>
              <w:spacing w:line="240" w:lineRule="atLeast"/>
              <w:outlineLvl w:val="0"/>
              <w:rPr>
                <w:rFonts w:ascii="仿宋_GB2312" w:hAnsi="仿宋" w:eastAsia="仿宋_GB2312"/>
                <w:sz w:val="24"/>
              </w:rPr>
            </w:pPr>
            <w:r>
              <w:rPr>
                <w:rFonts w:hint="eastAsia" w:ascii="仿宋_GB2312" w:hAnsi="仿宋" w:eastAsia="仿宋_GB2312" w:cs="华文宋体"/>
                <w:sz w:val="24"/>
              </w:rPr>
              <w:t>各级教育行政部门</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2018</w:t>
            </w:r>
            <w:r>
              <w:rPr>
                <w:rFonts w:hint="eastAsia" w:ascii="仿宋_GB2312" w:hAnsi="仿宋" w:eastAsia="仿宋_GB2312"/>
                <w:sz w:val="24"/>
              </w:rPr>
              <w:t>年</w:t>
            </w:r>
            <w:r>
              <w:rPr>
                <w:rFonts w:hint="eastAsia" w:ascii="仿宋_GB2312" w:eastAsia="仿宋_GB2312"/>
                <w:sz w:val="24"/>
              </w:rPr>
              <w:t>6</w:t>
            </w:r>
            <w:r>
              <w:rPr>
                <w:rFonts w:hint="eastAsia" w:ascii="仿宋_GB2312" w:hAnsi="仿宋" w:eastAsia="仿宋_GB2312"/>
                <w:sz w:val="24"/>
              </w:rPr>
              <w:t>月底前完成</w:t>
            </w:r>
          </w:p>
        </w:tc>
        <w:tc>
          <w:tcPr>
            <w:tcW w:w="3960" w:type="dxa"/>
            <w:vAlign w:val="center"/>
          </w:tcPr>
          <w:p>
            <w:pPr>
              <w:adjustRightInd w:val="0"/>
              <w:snapToGrid w:val="0"/>
              <w:spacing w:line="240" w:lineRule="atLeast"/>
              <w:jc w:val="center"/>
              <w:outlineLvl w:val="0"/>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3453" w:type="dxa"/>
            <w:gridSpan w:val="5"/>
            <w:vAlign w:val="center"/>
          </w:tcPr>
          <w:p>
            <w:pPr>
              <w:adjustRightInd w:val="0"/>
              <w:snapToGrid w:val="0"/>
              <w:spacing w:line="240" w:lineRule="atLeast"/>
              <w:jc w:val="center"/>
              <w:outlineLvl w:val="0"/>
              <w:rPr>
                <w:rFonts w:hint="eastAsia" w:ascii="仿宋_GB2312" w:eastAsia="仿宋_GB2312"/>
                <w:sz w:val="24"/>
              </w:rPr>
            </w:pPr>
            <w:r>
              <w:rPr>
                <w:rFonts w:hint="eastAsia" w:ascii="黑体" w:hAnsi="黑体" w:eastAsia="黑体" w:cs="华文宋体"/>
                <w:sz w:val="24"/>
              </w:rPr>
              <w:t>十、加强指导服务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29</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加强专家队伍建设，组织开展相关研究，跟踪行动计划的实施进展情况，并及时提供专业指导，广泛征集和宣传优秀管理案例</w:t>
            </w:r>
          </w:p>
        </w:tc>
        <w:tc>
          <w:tcPr>
            <w:tcW w:w="2269"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z w:val="24"/>
              </w:rPr>
              <w:t>各级教育行政部门</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持续实施</w:t>
            </w:r>
          </w:p>
        </w:tc>
        <w:tc>
          <w:tcPr>
            <w:tcW w:w="3960" w:type="dxa"/>
            <w:vAlign w:val="center"/>
          </w:tcPr>
          <w:p>
            <w:pPr>
              <w:adjustRightInd w:val="0"/>
              <w:snapToGrid w:val="0"/>
              <w:spacing w:line="240" w:lineRule="atLeast"/>
              <w:jc w:val="left"/>
              <w:outlineLvl w:val="0"/>
              <w:rPr>
                <w:rFonts w:hint="eastAsia" w:ascii="仿宋_GB2312" w:eastAsia="仿宋_GB2312"/>
                <w:sz w:val="24"/>
              </w:rPr>
            </w:pPr>
            <w:r>
              <w:rPr>
                <w:rFonts w:hint="eastAsia" w:ascii="仿宋_GB2312" w:eastAsia="仿宋_GB2312"/>
                <w:sz w:val="24"/>
              </w:rPr>
              <w:t>各级教育行政部门定期加强调度。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2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30</w:t>
            </w:r>
          </w:p>
        </w:tc>
        <w:tc>
          <w:tcPr>
            <w:tcW w:w="2831" w:type="dxa"/>
            <w:vAlign w:val="top"/>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组织专业力量设计问卷，开展大样本网络调查，形成职业院校管理状态“大数据”及分析报告</w:t>
            </w:r>
          </w:p>
        </w:tc>
        <w:tc>
          <w:tcPr>
            <w:tcW w:w="2269"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教育部</w:t>
            </w:r>
          </w:p>
        </w:tc>
        <w:tc>
          <w:tcPr>
            <w:tcW w:w="3671"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2017</w:t>
            </w:r>
            <w:r>
              <w:rPr>
                <w:rFonts w:hint="eastAsia" w:ascii="仿宋_GB2312" w:hAnsi="仿宋" w:eastAsia="仿宋_GB2312"/>
                <w:sz w:val="24"/>
              </w:rPr>
              <w:t>年</w:t>
            </w:r>
            <w:r>
              <w:rPr>
                <w:rFonts w:hint="eastAsia" w:ascii="仿宋_GB2312" w:eastAsia="仿宋_GB2312"/>
                <w:sz w:val="24"/>
              </w:rPr>
              <w:t>12</w:t>
            </w:r>
            <w:r>
              <w:rPr>
                <w:rFonts w:hint="eastAsia" w:ascii="仿宋_GB2312" w:hAnsi="仿宋" w:eastAsia="仿宋_GB2312"/>
                <w:sz w:val="24"/>
              </w:rPr>
              <w:t>月底前完成</w:t>
            </w:r>
          </w:p>
        </w:tc>
        <w:tc>
          <w:tcPr>
            <w:tcW w:w="3960" w:type="dxa"/>
            <w:vAlign w:val="center"/>
          </w:tcPr>
          <w:p>
            <w:pPr>
              <w:adjustRightInd w:val="0"/>
              <w:snapToGrid w:val="0"/>
              <w:spacing w:line="240" w:lineRule="atLeast"/>
              <w:jc w:val="center"/>
              <w:outlineLvl w:val="0"/>
              <w:rPr>
                <w:rFonts w:hint="eastAsia" w:ascii="仿宋_GB2312" w:eastAsia="仿宋_GB2312"/>
                <w:sz w:val="24"/>
              </w:rPr>
            </w:pPr>
            <w:r>
              <w:rPr>
                <w:rFonts w:hint="eastAsia" w:ascii="仿宋_GB2312" w:eastAsia="仿宋_GB2312"/>
                <w:sz w:val="24"/>
              </w:rPr>
              <w:t>/</w:t>
            </w:r>
          </w:p>
        </w:tc>
      </w:tr>
    </w:tbl>
    <w:p>
      <w:pPr>
        <w:spacing w:line="580" w:lineRule="exact"/>
        <w:rPr>
          <w:rFonts w:hint="eastAsia"/>
        </w:rPr>
      </w:pPr>
    </w:p>
    <w:p>
      <w:pPr/>
      <w:bookmarkStart w:id="0" w:name="_GoBack"/>
      <w:bookmarkEnd w:id="0"/>
    </w:p>
    <w:sectPr>
      <w:pgSz w:w="16838" w:h="11906" w:orient="landscape"/>
      <w:pgMar w:top="1531" w:right="1985" w:bottom="1531"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A6DA8"/>
    <w:rsid w:val="643A6D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_Style 2"/>
    <w:qFormat/>
    <w:uiPriority w:val="19"/>
    <w:rPr>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2016-02-25T07:34:00Z</dcterms:created>
  <dc:creator>dell</dc:creator>
  <cp:lastModifiedBy>dell</cp:lastModifiedBy>
  <dcterms:modified xsi:type="dcterms:W3CDTF">2016-02-25T07:34:41Z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