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07" w:rsidRPr="00DB295C" w:rsidRDefault="00406D07" w:rsidP="00495E15">
      <w:pPr>
        <w:jc w:val="center"/>
        <w:rPr>
          <w:rFonts w:ascii="黑体" w:eastAsia="黑体"/>
          <w:sz w:val="36"/>
          <w:szCs w:val="36"/>
        </w:rPr>
      </w:pPr>
      <w:r w:rsidRPr="00DB295C">
        <w:rPr>
          <w:rFonts w:ascii="黑体" w:eastAsia="黑体" w:hAnsi="宋体" w:hint="eastAsia"/>
          <w:sz w:val="36"/>
          <w:szCs w:val="36"/>
        </w:rPr>
        <w:t>西南大学</w:t>
      </w:r>
      <w:r w:rsidR="00D258E9" w:rsidRPr="008029AD">
        <w:rPr>
          <w:rFonts w:ascii="黑体" w:eastAsia="黑体" w:cs="宋体" w:hint="eastAsia"/>
          <w:sz w:val="36"/>
          <w:szCs w:val="36"/>
          <w:lang w:val="zh-CN"/>
        </w:rPr>
        <w:t>贯彻落实</w:t>
      </w:r>
      <w:r w:rsidR="00D258E9">
        <w:rPr>
          <w:rFonts w:ascii="黑体" w:eastAsia="黑体" w:hAnsi="宋体" w:hint="eastAsia"/>
          <w:sz w:val="36"/>
          <w:szCs w:val="36"/>
        </w:rPr>
        <w:t>《</w:t>
      </w:r>
      <w:r w:rsidRPr="00DB295C">
        <w:rPr>
          <w:rFonts w:ascii="黑体" w:eastAsia="黑体" w:hAnsi="宋体" w:hint="eastAsia"/>
          <w:sz w:val="36"/>
          <w:szCs w:val="36"/>
        </w:rPr>
        <w:t>推进共建“一带一路”教育行动</w:t>
      </w:r>
      <w:r w:rsidR="00D258E9">
        <w:rPr>
          <w:rFonts w:ascii="黑体" w:eastAsia="黑体" w:hAnsi="宋体" w:hint="eastAsia"/>
          <w:sz w:val="36"/>
          <w:szCs w:val="36"/>
        </w:rPr>
        <w:t>》工作方案</w:t>
      </w:r>
      <w:bookmarkStart w:id="0" w:name="_GoBack"/>
      <w:bookmarkEnd w:id="0"/>
    </w:p>
    <w:p w:rsidR="00406D07" w:rsidRPr="00DB295C" w:rsidRDefault="00406D07">
      <w:pPr>
        <w:rPr>
          <w:rFonts w:ascii="仿宋_GB2312" w:eastAsia="仿宋_GB2312"/>
          <w:sz w:val="28"/>
          <w:szCs w:val="28"/>
        </w:rPr>
      </w:pPr>
    </w:p>
    <w:p w:rsidR="00406D07" w:rsidRPr="00DB295C" w:rsidRDefault="00DD3F52" w:rsidP="00DB295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" w:cs="Arial" w:hint="eastAsia"/>
          <w:sz w:val="28"/>
          <w:szCs w:val="28"/>
        </w:rPr>
        <w:t>坚持</w:t>
      </w:r>
      <w:r w:rsidR="00406D07" w:rsidRPr="00DB295C">
        <w:rPr>
          <w:rFonts w:ascii="仿宋_GB2312" w:eastAsia="仿宋_GB2312" w:hAnsi="仿宋" w:cs="Arial" w:hint="eastAsia"/>
          <w:sz w:val="28"/>
          <w:szCs w:val="28"/>
        </w:rPr>
        <w:t>扩大对外开放，推进学校国际化进程，是西南大学加快自身发展的战略举措。</w:t>
      </w:r>
      <w:r w:rsidR="00406D07" w:rsidRPr="00DB295C">
        <w:rPr>
          <w:rFonts w:ascii="仿宋_GB2312" w:eastAsia="仿宋_GB2312" w:hAnsi="宋体" w:hint="eastAsia"/>
          <w:sz w:val="28"/>
          <w:szCs w:val="28"/>
        </w:rPr>
        <w:t>西南大学秉承“已欲立而立人”的中国传统，有序与“一带一路”沿线各国扩大合作交流，整合优质自身资源走出去，选择优质资源引进来，兼容并包，互学互鉴，积极参与</w:t>
      </w:r>
      <w:r w:rsidR="00406D07" w:rsidRPr="00DB295C">
        <w:rPr>
          <w:rFonts w:ascii="仿宋_GB2312" w:eastAsia="仿宋_GB2312" w:hAnsi="宋体"/>
          <w:sz w:val="28"/>
          <w:szCs w:val="28"/>
        </w:rPr>
        <w:t xml:space="preserve"> </w:t>
      </w:r>
      <w:r w:rsidR="00406D07" w:rsidRPr="00DB295C">
        <w:rPr>
          <w:rFonts w:ascii="仿宋_GB2312" w:eastAsia="仿宋_GB2312" w:hAnsi="宋体" w:hint="eastAsia"/>
          <w:sz w:val="28"/>
          <w:szCs w:val="28"/>
        </w:rPr>
        <w:t>“一带一路”共同行动，推动“一带一路”教育共同体，共同提升“一带一路”沿线各国高等教育国际化水平和服务共建“一带一路”能力。</w:t>
      </w:r>
    </w:p>
    <w:p w:rsidR="00406D07" w:rsidRPr="008445DF" w:rsidRDefault="00406D07" w:rsidP="008445DF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8445DF">
        <w:rPr>
          <w:rFonts w:ascii="仿宋_GB2312" w:eastAsia="仿宋_GB2312" w:hAnsi="宋体" w:hint="eastAsia"/>
          <w:b/>
          <w:sz w:val="28"/>
          <w:szCs w:val="28"/>
        </w:rPr>
        <w:t>一、</w:t>
      </w:r>
      <w:r>
        <w:rPr>
          <w:rFonts w:ascii="仿宋_GB2312" w:eastAsia="仿宋_GB2312" w:hAnsi="宋体" w:hint="eastAsia"/>
          <w:b/>
          <w:sz w:val="28"/>
          <w:szCs w:val="28"/>
        </w:rPr>
        <w:t>吸引学生来华留学</w:t>
      </w:r>
    </w:p>
    <w:p w:rsidR="00406D07" w:rsidRPr="00DB295C" w:rsidRDefault="00406D07" w:rsidP="00CE0326">
      <w:pPr>
        <w:ind w:firstLine="648"/>
        <w:rPr>
          <w:rFonts w:ascii="仿宋_GB2312" w:eastAsia="仿宋_GB2312" w:hAnsi="宋体"/>
          <w:sz w:val="28"/>
          <w:szCs w:val="28"/>
        </w:rPr>
      </w:pPr>
      <w:r w:rsidRPr="00DB295C">
        <w:rPr>
          <w:rFonts w:ascii="仿宋_GB2312" w:eastAsia="仿宋_GB2312" w:hAnsi="宋体" w:hint="eastAsia"/>
          <w:sz w:val="28"/>
          <w:szCs w:val="28"/>
        </w:rPr>
        <w:t>学校坚持出国留学和来华留学并重，公费和自费并重，规模和质量并重，管理和服务并重，人才培养和发挥作用并重，</w:t>
      </w:r>
      <w:r w:rsidR="00DD3F52" w:rsidRPr="00DB295C">
        <w:rPr>
          <w:rFonts w:ascii="仿宋_GB2312" w:eastAsia="仿宋_GB2312" w:hAnsi="宋体" w:hint="eastAsia"/>
          <w:sz w:val="28"/>
          <w:szCs w:val="28"/>
        </w:rPr>
        <w:t>打造“留学西大”品牌</w:t>
      </w:r>
      <w:r w:rsidR="00DD3F52">
        <w:rPr>
          <w:rFonts w:ascii="仿宋_GB2312" w:eastAsia="仿宋_GB2312" w:hAnsi="宋体" w:hint="eastAsia"/>
          <w:sz w:val="28"/>
          <w:szCs w:val="28"/>
        </w:rPr>
        <w:t>，</w:t>
      </w:r>
      <w:r w:rsidRPr="00DB295C">
        <w:rPr>
          <w:rFonts w:ascii="仿宋_GB2312" w:eastAsia="仿宋_GB2312" w:hAnsi="宋体" w:hint="eastAsia"/>
          <w:sz w:val="28"/>
          <w:szCs w:val="28"/>
        </w:rPr>
        <w:t>统筹推进学校留学事业发展。学校充分利用国家“丝绸之路”政府奖学金，积极争取国家、重庆市各项政策支持和资金资助，同时自筹资金，加大“西南大学校长奖学金”的投入力度，并通过增设西南大学“丝绸之路”奖学金，争取吸引更多“一带一路”沿线国家优秀学生来校留学</w:t>
      </w:r>
      <w:r w:rsidR="00DD3F52">
        <w:rPr>
          <w:rFonts w:ascii="仿宋_GB2312" w:eastAsia="仿宋_GB2312" w:hAnsi="宋体" w:hint="eastAsia"/>
          <w:sz w:val="28"/>
          <w:szCs w:val="28"/>
        </w:rPr>
        <w:t>。</w:t>
      </w:r>
      <w:r w:rsidR="00DD3F52" w:rsidRPr="00DB295C">
        <w:rPr>
          <w:rFonts w:ascii="仿宋_GB2312" w:eastAsia="仿宋_GB2312" w:hAnsi="宋体"/>
          <w:sz w:val="28"/>
          <w:szCs w:val="28"/>
        </w:rPr>
        <w:t xml:space="preserve"> </w:t>
      </w:r>
    </w:p>
    <w:p w:rsidR="00406D07" w:rsidRPr="008445DF" w:rsidRDefault="00406D07" w:rsidP="008445DF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8445DF">
        <w:rPr>
          <w:rFonts w:ascii="仿宋_GB2312" w:eastAsia="仿宋_GB2312" w:hAnsi="宋体" w:hint="eastAsia"/>
          <w:b/>
          <w:sz w:val="28"/>
          <w:szCs w:val="28"/>
        </w:rPr>
        <w:t>二、开展学生联合培养</w:t>
      </w:r>
    </w:p>
    <w:p w:rsidR="00406D07" w:rsidRPr="00DB295C" w:rsidRDefault="00406D07" w:rsidP="00DB295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B295C">
        <w:rPr>
          <w:rFonts w:ascii="仿宋_GB2312" w:eastAsia="仿宋_GB2312" w:hAnsi="宋体" w:hint="eastAsia"/>
          <w:sz w:val="28"/>
          <w:szCs w:val="28"/>
        </w:rPr>
        <w:t>为实现中国与“一带一路”沿线国家间的互联互通，</w:t>
      </w:r>
      <w:r w:rsidR="00DD3F52">
        <w:rPr>
          <w:rFonts w:ascii="仿宋_GB2312" w:eastAsia="仿宋_GB2312" w:hAnsi="宋体" w:hint="eastAsia"/>
          <w:sz w:val="28"/>
          <w:szCs w:val="28"/>
        </w:rPr>
        <w:t>学校积极</w:t>
      </w:r>
      <w:r w:rsidRPr="00DB295C">
        <w:rPr>
          <w:rFonts w:ascii="仿宋_GB2312" w:eastAsia="仿宋_GB2312" w:hAnsi="宋体" w:hint="eastAsia"/>
          <w:sz w:val="28"/>
          <w:szCs w:val="28"/>
        </w:rPr>
        <w:t>加强与沿线国家著名高校和教育机构的合作，培养更多发展急需的人才。学校鼓励和支持二级教学科研单位主动与</w:t>
      </w:r>
      <w:r>
        <w:rPr>
          <w:rFonts w:ascii="仿宋_GB2312" w:eastAsia="仿宋_GB2312" w:hAnsi="宋体" w:hint="eastAsia"/>
          <w:sz w:val="28"/>
          <w:szCs w:val="28"/>
        </w:rPr>
        <w:t>“</w:t>
      </w:r>
      <w:r w:rsidRPr="00DB295C">
        <w:rPr>
          <w:rFonts w:ascii="仿宋_GB2312" w:eastAsia="仿宋_GB2312" w:hAnsi="宋体" w:hint="eastAsia"/>
          <w:sz w:val="28"/>
          <w:szCs w:val="28"/>
        </w:rPr>
        <w:t>一带一路”一流高校或拥有一流（特色）学科的高校加强合作，开展多层次、多类别的联合培</w:t>
      </w:r>
      <w:r w:rsidRPr="00DB295C">
        <w:rPr>
          <w:rFonts w:ascii="仿宋_GB2312" w:eastAsia="仿宋_GB2312" w:hAnsi="宋体" w:hint="eastAsia"/>
          <w:sz w:val="28"/>
          <w:szCs w:val="28"/>
        </w:rPr>
        <w:lastRenderedPageBreak/>
        <w:t>养学位项目，实现本科层次、硕士层次以及</w:t>
      </w:r>
      <w:proofErr w:type="gramStart"/>
      <w:r w:rsidRPr="00DB295C">
        <w:rPr>
          <w:rFonts w:ascii="仿宋_GB2312" w:eastAsia="仿宋_GB2312" w:hAnsi="宋体" w:hint="eastAsia"/>
          <w:sz w:val="28"/>
          <w:szCs w:val="28"/>
        </w:rPr>
        <w:t>本硕联</w:t>
      </w:r>
      <w:proofErr w:type="gramEnd"/>
      <w:r w:rsidRPr="00DB295C">
        <w:rPr>
          <w:rFonts w:ascii="仿宋_GB2312" w:eastAsia="仿宋_GB2312" w:hAnsi="宋体" w:hint="eastAsia"/>
          <w:sz w:val="28"/>
          <w:szCs w:val="28"/>
        </w:rPr>
        <w:t>读层次联合培养项目。同时，努力推进校内非通用语种专业和选修课程的开设，为中国开展与世界各国的人文交流，为讲好中国故事，传递中国声音培养储备人才。加强汉语教师和汉语教学志愿者队伍建设，全力满足沿线国家汉语学习要求。</w:t>
      </w:r>
    </w:p>
    <w:p w:rsidR="00406D07" w:rsidRPr="008445DF" w:rsidRDefault="00406D07" w:rsidP="008445DF">
      <w:pPr>
        <w:ind w:firstLineChars="200" w:firstLine="562"/>
        <w:rPr>
          <w:rFonts w:ascii="仿宋_GB2312" w:eastAsia="仿宋_GB2312" w:hAnsi="仿宋" w:cs="Arial"/>
          <w:b/>
          <w:sz w:val="28"/>
          <w:szCs w:val="28"/>
        </w:rPr>
      </w:pPr>
      <w:r w:rsidRPr="008445DF">
        <w:rPr>
          <w:rFonts w:ascii="仿宋_GB2312" w:eastAsia="仿宋_GB2312" w:hAnsi="宋体" w:hint="eastAsia"/>
          <w:b/>
          <w:sz w:val="28"/>
          <w:szCs w:val="28"/>
        </w:rPr>
        <w:t>三、</w:t>
      </w:r>
      <w:r w:rsidRPr="008445DF">
        <w:rPr>
          <w:rFonts w:ascii="仿宋_GB2312" w:eastAsia="仿宋_GB2312" w:hint="eastAsia"/>
          <w:b/>
          <w:sz w:val="28"/>
          <w:szCs w:val="28"/>
        </w:rPr>
        <w:t>积极</w:t>
      </w:r>
      <w:r>
        <w:rPr>
          <w:rFonts w:ascii="仿宋_GB2312" w:eastAsia="仿宋_GB2312" w:hint="eastAsia"/>
          <w:b/>
          <w:sz w:val="28"/>
          <w:szCs w:val="28"/>
        </w:rPr>
        <w:t>拓</w:t>
      </w:r>
      <w:r w:rsidRPr="008445DF">
        <w:rPr>
          <w:rFonts w:ascii="仿宋_GB2312" w:eastAsia="仿宋_GB2312" w:hint="eastAsia"/>
          <w:b/>
          <w:sz w:val="28"/>
          <w:szCs w:val="28"/>
        </w:rPr>
        <w:t>展境外办学</w:t>
      </w:r>
    </w:p>
    <w:p w:rsidR="00406D07" w:rsidRPr="00DB295C" w:rsidRDefault="00DD3F52" w:rsidP="00DB295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学校现有</w:t>
      </w:r>
      <w:r w:rsidR="00406D07" w:rsidRPr="00DB295C">
        <w:rPr>
          <w:rFonts w:ascii="仿宋_GB2312" w:eastAsia="仿宋_GB2312"/>
          <w:sz w:val="28"/>
          <w:szCs w:val="28"/>
        </w:rPr>
        <w:t>1</w:t>
      </w:r>
      <w:r w:rsidR="00406D07" w:rsidRPr="00DB295C">
        <w:rPr>
          <w:rFonts w:ascii="仿宋_GB2312" w:eastAsia="仿宋_GB2312" w:hint="eastAsia"/>
          <w:sz w:val="28"/>
          <w:szCs w:val="28"/>
        </w:rPr>
        <w:t>个教育管理专业越南境外办学项目。在共建“一带一路”教育行动计划中，</w:t>
      </w:r>
      <w:r>
        <w:rPr>
          <w:rFonts w:ascii="仿宋_GB2312" w:eastAsia="仿宋_GB2312" w:hint="eastAsia"/>
          <w:sz w:val="28"/>
          <w:szCs w:val="28"/>
        </w:rPr>
        <w:t>学校将</w:t>
      </w:r>
      <w:r w:rsidR="00406D07" w:rsidRPr="00DB295C">
        <w:rPr>
          <w:rFonts w:ascii="仿宋_GB2312" w:eastAsia="仿宋_GB2312" w:hint="eastAsia"/>
          <w:sz w:val="28"/>
          <w:szCs w:val="28"/>
        </w:rPr>
        <w:t>继续积极输出西南大学优势教育资源。</w:t>
      </w:r>
      <w:r w:rsidR="00BA24F3" w:rsidRPr="00BA24F3">
        <w:rPr>
          <w:rFonts w:ascii="仿宋_GB2312" w:eastAsia="仿宋_GB2312" w:hint="eastAsia"/>
          <w:sz w:val="28"/>
          <w:szCs w:val="28"/>
        </w:rPr>
        <w:t>在教育资源较为贫乏的国家和地区，特别是国家积极鼓励支持的“一带一路”沿线国家，重点配合国家“一带一路”发展战略，</w:t>
      </w:r>
      <w:r w:rsidR="00406D07" w:rsidRPr="00DB295C">
        <w:rPr>
          <w:rFonts w:ascii="仿宋_GB2312" w:eastAsia="仿宋_GB2312" w:hint="eastAsia"/>
          <w:sz w:val="28"/>
          <w:szCs w:val="28"/>
        </w:rPr>
        <w:t>加强与沿线国家著名高校和教育机构的合作，为实现中国与相关国家间的互联互通，培养更多发展急需的人才。积极借</w:t>
      </w:r>
      <w:r>
        <w:rPr>
          <w:rFonts w:ascii="仿宋_GB2312" w:eastAsia="仿宋_GB2312" w:hint="eastAsia"/>
          <w:sz w:val="28"/>
          <w:szCs w:val="28"/>
        </w:rPr>
        <w:t>助企业“一带一路”国际化发展战略，探索通过与相关企业的互利合作</w:t>
      </w:r>
      <w:r w:rsidR="00406D07" w:rsidRPr="00DB295C">
        <w:rPr>
          <w:rFonts w:ascii="仿宋_GB2312" w:eastAsia="仿宋_GB2312" w:hint="eastAsia"/>
          <w:sz w:val="28"/>
          <w:szCs w:val="28"/>
        </w:rPr>
        <w:t>，创新境外合作办学模式。</w:t>
      </w:r>
    </w:p>
    <w:p w:rsidR="00406D07" w:rsidRPr="008445DF" w:rsidRDefault="00406D07" w:rsidP="008445DF">
      <w:pPr>
        <w:spacing w:line="56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</w:t>
      </w:r>
      <w:r w:rsidRPr="008445DF">
        <w:rPr>
          <w:rFonts w:ascii="仿宋_GB2312" w:eastAsia="仿宋_GB2312" w:hAnsi="宋体" w:hint="eastAsia"/>
          <w:b/>
          <w:sz w:val="28"/>
          <w:szCs w:val="28"/>
        </w:rPr>
        <w:t>、鼓励教师出国交流</w:t>
      </w:r>
    </w:p>
    <w:p w:rsidR="00406D07" w:rsidRPr="00DB295C" w:rsidRDefault="00406D07" w:rsidP="00DB295C">
      <w:pPr>
        <w:spacing w:line="560" w:lineRule="exact"/>
        <w:ind w:firstLineChars="200" w:firstLine="560"/>
        <w:rPr>
          <w:rFonts w:ascii="仿宋_GB2312" w:eastAsia="仿宋_GB2312" w:hAnsi="仿宋" w:cs="Arial"/>
          <w:sz w:val="28"/>
          <w:szCs w:val="28"/>
        </w:rPr>
      </w:pPr>
      <w:r w:rsidRPr="00DB295C">
        <w:rPr>
          <w:rFonts w:ascii="仿宋_GB2312" w:eastAsia="仿宋_GB2312" w:hAnsi="仿宋" w:cs="Arial" w:hint="eastAsia"/>
          <w:sz w:val="28"/>
          <w:szCs w:val="28"/>
        </w:rPr>
        <w:t>加强学校自身师资队伍的国际化建设，为教师出国（境）交流和访学提供平台，争取项目</w:t>
      </w:r>
      <w:r w:rsidR="00DD3F52">
        <w:rPr>
          <w:rFonts w:ascii="仿宋_GB2312" w:eastAsia="仿宋_GB2312" w:hAnsi="仿宋" w:cs="Arial" w:hint="eastAsia"/>
          <w:sz w:val="28"/>
          <w:szCs w:val="28"/>
        </w:rPr>
        <w:t>。</w:t>
      </w:r>
      <w:r w:rsidRPr="00DB295C">
        <w:rPr>
          <w:rFonts w:ascii="仿宋_GB2312" w:eastAsia="仿宋_GB2312" w:hAnsi="仿宋" w:cs="Arial" w:hint="eastAsia"/>
          <w:sz w:val="28"/>
          <w:szCs w:val="28"/>
        </w:rPr>
        <w:t>支持教师出国（境）参加高规格国际学术会议和开展高水平国际学术活动；鼓励</w:t>
      </w:r>
      <w:r w:rsidR="00DD3F52">
        <w:rPr>
          <w:rFonts w:ascii="仿宋_GB2312" w:eastAsia="仿宋_GB2312" w:hAnsi="仿宋" w:cs="Arial" w:hint="eastAsia"/>
          <w:sz w:val="28"/>
          <w:szCs w:val="28"/>
        </w:rPr>
        <w:t>知名</w:t>
      </w:r>
      <w:r w:rsidRPr="00DB295C">
        <w:rPr>
          <w:rFonts w:ascii="仿宋_GB2312" w:eastAsia="仿宋_GB2312" w:hAnsi="仿宋" w:cs="Arial" w:hint="eastAsia"/>
          <w:sz w:val="28"/>
          <w:szCs w:val="28"/>
        </w:rPr>
        <w:t>学者到有重要影响力的国际学术组织和国际学术刊物任职；</w:t>
      </w:r>
      <w:r w:rsidR="00DD3F52">
        <w:rPr>
          <w:rFonts w:ascii="仿宋_GB2312" w:eastAsia="仿宋_GB2312" w:hAnsi="仿宋" w:cs="Arial" w:hint="eastAsia"/>
          <w:sz w:val="30"/>
          <w:szCs w:val="30"/>
        </w:rPr>
        <w:t>针对性</w:t>
      </w:r>
      <w:r w:rsidR="00DD3F52" w:rsidRPr="008029AD">
        <w:rPr>
          <w:rFonts w:ascii="仿宋_GB2312" w:eastAsia="仿宋_GB2312" w:hAnsi="仿宋" w:cs="Arial" w:hint="eastAsia"/>
          <w:sz w:val="30"/>
          <w:szCs w:val="30"/>
        </w:rPr>
        <w:t>资助</w:t>
      </w:r>
      <w:r w:rsidR="00DD3F52">
        <w:rPr>
          <w:rFonts w:ascii="仿宋_GB2312" w:eastAsia="仿宋_GB2312" w:hAnsi="仿宋" w:cs="Arial" w:hint="eastAsia"/>
          <w:sz w:val="30"/>
          <w:szCs w:val="30"/>
        </w:rPr>
        <w:t>教师</w:t>
      </w:r>
      <w:r w:rsidRPr="00DB295C">
        <w:rPr>
          <w:rFonts w:ascii="仿宋_GB2312" w:eastAsia="仿宋_GB2312" w:hAnsi="仿宋" w:cs="Arial" w:hint="eastAsia"/>
          <w:sz w:val="28"/>
          <w:szCs w:val="28"/>
        </w:rPr>
        <w:t>赴“一带一路”沿线国家开展讲学和合作科研等学术活动，引导开展“一带一路”沿线国家的国别化研究和区域性问题研究。</w:t>
      </w:r>
      <w:r w:rsidRPr="00DB295C">
        <w:rPr>
          <w:rFonts w:ascii="仿宋_GB2312" w:eastAsia="仿宋_GB2312" w:hAnsi="仿宋" w:cs="Arial"/>
          <w:sz w:val="28"/>
          <w:szCs w:val="28"/>
        </w:rPr>
        <w:t xml:space="preserve"> </w:t>
      </w:r>
    </w:p>
    <w:p w:rsidR="00406D07" w:rsidRPr="008445DF" w:rsidRDefault="00406D07" w:rsidP="008445DF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五</w:t>
      </w:r>
      <w:r w:rsidRPr="008445DF">
        <w:rPr>
          <w:rFonts w:ascii="仿宋_GB2312" w:eastAsia="仿宋_GB2312" w:hAnsi="宋体" w:hint="eastAsia"/>
          <w:b/>
          <w:sz w:val="28"/>
          <w:szCs w:val="28"/>
        </w:rPr>
        <w:t>、针对性开展海外引智</w:t>
      </w:r>
    </w:p>
    <w:p w:rsidR="00406D07" w:rsidRDefault="00406D07" w:rsidP="00DB295C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B295C">
        <w:rPr>
          <w:rFonts w:ascii="仿宋_GB2312" w:eastAsia="仿宋_GB2312" w:hAnsi="宋体" w:hint="eastAsia"/>
          <w:sz w:val="28"/>
          <w:szCs w:val="28"/>
        </w:rPr>
        <w:t>利用国家引智计划，特别是</w:t>
      </w:r>
      <w:r w:rsidR="00DD3F52">
        <w:rPr>
          <w:rFonts w:ascii="仿宋_GB2312" w:eastAsia="仿宋_GB2312" w:hAnsi="宋体" w:hint="eastAsia"/>
          <w:sz w:val="28"/>
          <w:szCs w:val="28"/>
        </w:rPr>
        <w:t>2016</w:t>
      </w:r>
      <w:r w:rsidRPr="00DB295C">
        <w:rPr>
          <w:rFonts w:ascii="仿宋_GB2312" w:eastAsia="仿宋_GB2312" w:hAnsi="宋体" w:hint="eastAsia"/>
          <w:sz w:val="28"/>
          <w:szCs w:val="28"/>
        </w:rPr>
        <w:t>年新设的“一带一路”教科文卫引智计划，有意加大</w:t>
      </w:r>
      <w:r w:rsidRPr="00DB295C">
        <w:rPr>
          <w:rFonts w:ascii="仿宋_GB2312" w:eastAsia="仿宋_GB2312" w:hAnsi="宋体"/>
          <w:sz w:val="28"/>
          <w:szCs w:val="28"/>
        </w:rPr>
        <w:t xml:space="preserve"> </w:t>
      </w:r>
      <w:r w:rsidRPr="00DB295C">
        <w:rPr>
          <w:rFonts w:ascii="仿宋_GB2312" w:eastAsia="仿宋_GB2312" w:hAnsi="宋体" w:hint="eastAsia"/>
          <w:sz w:val="28"/>
          <w:szCs w:val="28"/>
        </w:rPr>
        <w:t>“一带一路”沿线国家优质智力的引进力度，对“一带一路”沿线国家来校工作的高层次外国专家给予适当政策和</w:t>
      </w:r>
      <w:r w:rsidRPr="00DB295C">
        <w:rPr>
          <w:rFonts w:ascii="仿宋_GB2312" w:eastAsia="仿宋_GB2312" w:hAnsi="宋体" w:hint="eastAsia"/>
          <w:sz w:val="28"/>
          <w:szCs w:val="28"/>
        </w:rPr>
        <w:lastRenderedPageBreak/>
        <w:t>经费倾斜，吸引更多高学历、高水平和有国际影响力的长短期外国专家来校开展教学、科研和交流等学术活动。为进一步深化与“一带一路”沿线国家的人文交流集聚资源。</w:t>
      </w:r>
    </w:p>
    <w:p w:rsidR="00406D07" w:rsidRPr="008445DF" w:rsidRDefault="00406D07" w:rsidP="004B2BCA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</w:t>
      </w:r>
      <w:r w:rsidRPr="008445DF">
        <w:rPr>
          <w:rFonts w:ascii="仿宋_GB2312" w:eastAsia="仿宋_GB2312" w:hAnsi="宋体" w:hint="eastAsia"/>
          <w:b/>
          <w:sz w:val="28"/>
          <w:szCs w:val="28"/>
        </w:rPr>
        <w:t>、</w:t>
      </w:r>
      <w:r>
        <w:rPr>
          <w:rFonts w:ascii="仿宋_GB2312" w:eastAsia="仿宋_GB2312" w:hAnsi="宋体" w:hint="eastAsia"/>
          <w:b/>
          <w:sz w:val="28"/>
          <w:szCs w:val="28"/>
        </w:rPr>
        <w:t>加强</w:t>
      </w:r>
      <w:r w:rsidRPr="008445DF">
        <w:rPr>
          <w:rFonts w:ascii="仿宋_GB2312" w:eastAsia="仿宋_GB2312" w:hAnsi="宋体" w:hint="eastAsia"/>
          <w:b/>
          <w:sz w:val="28"/>
          <w:szCs w:val="28"/>
        </w:rPr>
        <w:t>科学研究合作</w:t>
      </w:r>
    </w:p>
    <w:p w:rsidR="00406D07" w:rsidRDefault="00406D07" w:rsidP="004B2BC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B295C">
        <w:rPr>
          <w:rFonts w:ascii="仿宋_GB2312" w:eastAsia="仿宋_GB2312" w:hAnsi="宋体" w:hint="eastAsia"/>
          <w:sz w:val="28"/>
          <w:szCs w:val="28"/>
        </w:rPr>
        <w:t>整合学校学科资源，成立西南大学“一带一路”国别和区域研究中心，与对象国合作开展经济、政治、教育、文化等领域研究。依托学科优势专业，争取建立产学研用结合的国际合作联合实验室（研究中心），共同应对经济发展、资源利用、生态保护等沿线各国面临的重大挑战与机遇。打造“一带一路”学术交流平台，吸引各国专家学者、青年学生开展研究和学术交流。组织</w:t>
      </w:r>
      <w:r w:rsidR="00DD3F52" w:rsidRPr="00DB295C">
        <w:rPr>
          <w:rFonts w:ascii="仿宋_GB2312" w:eastAsia="仿宋_GB2312" w:hAnsi="宋体" w:hint="eastAsia"/>
          <w:sz w:val="28"/>
          <w:szCs w:val="28"/>
        </w:rPr>
        <w:t>“一带一路”</w:t>
      </w:r>
      <w:r w:rsidRPr="00DB295C">
        <w:rPr>
          <w:rFonts w:ascii="仿宋_GB2312" w:eastAsia="仿宋_GB2312" w:hAnsi="宋体" w:hint="eastAsia"/>
          <w:sz w:val="28"/>
          <w:szCs w:val="28"/>
        </w:rPr>
        <w:t>专题学术研讨会。</w:t>
      </w:r>
    </w:p>
    <w:p w:rsidR="00406D07" w:rsidRPr="008445DF" w:rsidRDefault="00406D07" w:rsidP="004B2BCA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</w:t>
      </w:r>
      <w:r w:rsidRPr="008445DF">
        <w:rPr>
          <w:rFonts w:ascii="仿宋_GB2312" w:eastAsia="仿宋_GB2312" w:hAnsi="宋体" w:hint="eastAsia"/>
          <w:b/>
          <w:sz w:val="28"/>
          <w:szCs w:val="28"/>
        </w:rPr>
        <w:t>、</w:t>
      </w:r>
      <w:r>
        <w:rPr>
          <w:rFonts w:ascii="仿宋_GB2312" w:eastAsia="仿宋_GB2312" w:hAnsi="宋体" w:hint="eastAsia"/>
          <w:b/>
          <w:sz w:val="28"/>
          <w:szCs w:val="28"/>
        </w:rPr>
        <w:t>寻求新建</w:t>
      </w:r>
      <w:r w:rsidRPr="008445DF">
        <w:rPr>
          <w:rFonts w:ascii="仿宋_GB2312" w:eastAsia="仿宋_GB2312" w:hAnsi="宋体" w:hint="eastAsia"/>
          <w:b/>
          <w:sz w:val="28"/>
          <w:szCs w:val="28"/>
        </w:rPr>
        <w:t>孔子学院</w:t>
      </w:r>
    </w:p>
    <w:p w:rsidR="00406D07" w:rsidRPr="00DB295C" w:rsidRDefault="00406D07" w:rsidP="004B2BC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B295C">
        <w:rPr>
          <w:rFonts w:ascii="仿宋_GB2312" w:eastAsia="仿宋_GB2312" w:hAnsi="宋体" w:hint="eastAsia"/>
          <w:sz w:val="28"/>
          <w:szCs w:val="28"/>
        </w:rPr>
        <w:t>学校孔敬大学孔子学院和</w:t>
      </w:r>
      <w:r w:rsidRPr="00DB295C">
        <w:rPr>
          <w:rFonts w:ascii="仿宋_GB2312" w:eastAsia="仿宋_GB2312" w:hAnsi="宋体"/>
          <w:sz w:val="28"/>
          <w:szCs w:val="28"/>
        </w:rPr>
        <w:t>BCIT</w:t>
      </w:r>
      <w:r w:rsidRPr="00DB295C">
        <w:rPr>
          <w:rFonts w:ascii="仿宋_GB2312" w:eastAsia="仿宋_GB2312" w:hAnsi="宋体" w:hint="eastAsia"/>
          <w:sz w:val="28"/>
          <w:szCs w:val="28"/>
        </w:rPr>
        <w:t>孔子学院已经建成为特色鲜明、成绩突出、引领全球的示范孔子学院。学校将主动把握机遇，发挥孔子学院在提升国家</w:t>
      </w:r>
      <w:proofErr w:type="gramStart"/>
      <w:r w:rsidRPr="00DB295C">
        <w:rPr>
          <w:rFonts w:ascii="仿宋_GB2312" w:eastAsia="仿宋_GB2312" w:hAnsi="宋体" w:hint="eastAsia"/>
          <w:sz w:val="28"/>
          <w:szCs w:val="28"/>
        </w:rPr>
        <w:t>软实力</w:t>
      </w:r>
      <w:proofErr w:type="gramEnd"/>
      <w:r w:rsidRPr="00DB295C">
        <w:rPr>
          <w:rFonts w:ascii="仿宋_GB2312" w:eastAsia="仿宋_GB2312" w:hAnsi="宋体" w:hint="eastAsia"/>
          <w:sz w:val="28"/>
          <w:szCs w:val="28"/>
        </w:rPr>
        <w:t>和学校国际知名度等方面具有独特的重要作用</w:t>
      </w:r>
      <w:r w:rsidR="00DD3F52">
        <w:rPr>
          <w:rFonts w:ascii="仿宋_GB2312" w:eastAsia="仿宋_GB2312" w:hAnsi="宋体" w:hint="eastAsia"/>
          <w:sz w:val="28"/>
          <w:szCs w:val="28"/>
        </w:rPr>
        <w:t>，</w:t>
      </w:r>
      <w:r w:rsidRPr="00DB295C">
        <w:rPr>
          <w:rFonts w:ascii="仿宋_GB2312" w:eastAsia="仿宋_GB2312" w:hAnsi="宋体" w:hint="eastAsia"/>
          <w:sz w:val="28"/>
          <w:szCs w:val="28"/>
        </w:rPr>
        <w:t>积极与“一带一路”沿线国家或欧美发达国家高校合作，寻求新建学校第三所孔子学院的可能。</w:t>
      </w:r>
    </w:p>
    <w:p w:rsidR="00406D07" w:rsidRPr="00DB295C" w:rsidRDefault="00406D07">
      <w:pPr>
        <w:rPr>
          <w:rFonts w:ascii="仿宋_GB2312" w:eastAsia="仿宋_GB2312"/>
          <w:sz w:val="28"/>
          <w:szCs w:val="28"/>
        </w:rPr>
      </w:pPr>
    </w:p>
    <w:p w:rsidR="00406D07" w:rsidRPr="00DB295C" w:rsidRDefault="00406D07">
      <w:pPr>
        <w:rPr>
          <w:rFonts w:ascii="仿宋_GB2312" w:eastAsia="仿宋_GB2312"/>
          <w:sz w:val="28"/>
          <w:szCs w:val="28"/>
        </w:rPr>
      </w:pPr>
    </w:p>
    <w:sectPr w:rsidR="00406D07" w:rsidRPr="00DB295C" w:rsidSect="00E7069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729" w:rsidRDefault="00724729" w:rsidP="00CC7709">
      <w:r>
        <w:separator/>
      </w:r>
    </w:p>
  </w:endnote>
  <w:endnote w:type="continuationSeparator" w:id="0">
    <w:p w:rsidR="00724729" w:rsidRDefault="00724729" w:rsidP="00CC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07" w:rsidRDefault="00406D07" w:rsidP="00210E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6D07" w:rsidRDefault="00406D0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07" w:rsidRDefault="00406D07" w:rsidP="00210E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58E9">
      <w:rPr>
        <w:rStyle w:val="a5"/>
        <w:noProof/>
      </w:rPr>
      <w:t>1</w:t>
    </w:r>
    <w:r>
      <w:rPr>
        <w:rStyle w:val="a5"/>
      </w:rPr>
      <w:fldChar w:fldCharType="end"/>
    </w:r>
  </w:p>
  <w:p w:rsidR="00406D07" w:rsidRDefault="00406D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729" w:rsidRDefault="00724729" w:rsidP="00CC7709">
      <w:r>
        <w:separator/>
      </w:r>
    </w:p>
  </w:footnote>
  <w:footnote w:type="continuationSeparator" w:id="0">
    <w:p w:rsidR="00724729" w:rsidRDefault="00724729" w:rsidP="00CC7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AE"/>
    <w:rsid w:val="00015648"/>
    <w:rsid w:val="001071AD"/>
    <w:rsid w:val="001157A2"/>
    <w:rsid w:val="00134027"/>
    <w:rsid w:val="00146985"/>
    <w:rsid w:val="00150E8D"/>
    <w:rsid w:val="00166B6D"/>
    <w:rsid w:val="00174955"/>
    <w:rsid w:val="00196608"/>
    <w:rsid w:val="00210E0E"/>
    <w:rsid w:val="00212C34"/>
    <w:rsid w:val="0022000A"/>
    <w:rsid w:val="00241831"/>
    <w:rsid w:val="002C04D7"/>
    <w:rsid w:val="002E640E"/>
    <w:rsid w:val="00304846"/>
    <w:rsid w:val="003A5400"/>
    <w:rsid w:val="003C4D4C"/>
    <w:rsid w:val="00406D07"/>
    <w:rsid w:val="00495E15"/>
    <w:rsid w:val="004B2BCA"/>
    <w:rsid w:val="004C2EF4"/>
    <w:rsid w:val="004F5747"/>
    <w:rsid w:val="00535FDE"/>
    <w:rsid w:val="005D70F3"/>
    <w:rsid w:val="00691C22"/>
    <w:rsid w:val="0069304F"/>
    <w:rsid w:val="006F64C4"/>
    <w:rsid w:val="00724729"/>
    <w:rsid w:val="00741BE8"/>
    <w:rsid w:val="007651E0"/>
    <w:rsid w:val="0079132A"/>
    <w:rsid w:val="007A465E"/>
    <w:rsid w:val="008445DF"/>
    <w:rsid w:val="00853346"/>
    <w:rsid w:val="008643AE"/>
    <w:rsid w:val="008A3C30"/>
    <w:rsid w:val="00917365"/>
    <w:rsid w:val="0092115A"/>
    <w:rsid w:val="00957776"/>
    <w:rsid w:val="009C5088"/>
    <w:rsid w:val="00A14F52"/>
    <w:rsid w:val="00B3474B"/>
    <w:rsid w:val="00B7673A"/>
    <w:rsid w:val="00BA24F3"/>
    <w:rsid w:val="00BC5849"/>
    <w:rsid w:val="00BD7C48"/>
    <w:rsid w:val="00C371ED"/>
    <w:rsid w:val="00C92CD4"/>
    <w:rsid w:val="00CA571A"/>
    <w:rsid w:val="00CC7709"/>
    <w:rsid w:val="00CD5F98"/>
    <w:rsid w:val="00CE0326"/>
    <w:rsid w:val="00D03AC5"/>
    <w:rsid w:val="00D17BC8"/>
    <w:rsid w:val="00D258E9"/>
    <w:rsid w:val="00DB295C"/>
    <w:rsid w:val="00DD007F"/>
    <w:rsid w:val="00DD3F52"/>
    <w:rsid w:val="00DF73BB"/>
    <w:rsid w:val="00E23810"/>
    <w:rsid w:val="00E70698"/>
    <w:rsid w:val="00E93355"/>
    <w:rsid w:val="00EC2CDA"/>
    <w:rsid w:val="00FC6463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C7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C770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C7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C7709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DB295C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7913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13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C7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C770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C7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C7709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DB295C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7913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13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236</Words>
  <Characters>1347</Characters>
  <Application>Microsoft Office Word</Application>
  <DocSecurity>0</DocSecurity>
  <Lines>11</Lines>
  <Paragraphs>3</Paragraphs>
  <ScaleCrop>false</ScaleCrop>
  <Company>Sky123.Org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5</cp:revision>
  <cp:lastPrinted>2016-09-06T08:38:00Z</cp:lastPrinted>
  <dcterms:created xsi:type="dcterms:W3CDTF">2016-09-06T09:12:00Z</dcterms:created>
  <dcterms:modified xsi:type="dcterms:W3CDTF">2016-09-06T09:38:00Z</dcterms:modified>
</cp:coreProperties>
</file>