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A9" w:rsidRPr="00552645" w:rsidRDefault="00552645" w:rsidP="008602A9">
      <w:pPr>
        <w:pStyle w:val="aa"/>
        <w:ind w:firstLineChars="0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附件</w:t>
      </w:r>
      <w:r w:rsidR="008602A9" w:rsidRPr="00552645">
        <w:rPr>
          <w:rFonts w:ascii="Times New Roman" w:hAnsi="Times New Roman" w:cs="Times New Roman" w:hint="eastAsia"/>
        </w:rPr>
        <w:t>1</w:t>
      </w:r>
      <w:r w:rsidR="008602A9" w:rsidRPr="00552645">
        <w:rPr>
          <w:rFonts w:ascii="Times New Roman" w:hAnsi="Times New Roman" w:cs="Times New Roman"/>
        </w:rPr>
        <w:t>：</w:t>
      </w:r>
    </w:p>
    <w:p w:rsidR="008602A9" w:rsidRPr="00552645" w:rsidRDefault="000C40C8" w:rsidP="008602A9">
      <w:pPr>
        <w:pStyle w:val="a8"/>
        <w:spacing w:before="289" w:after="289" w:line="600" w:lineRule="exact"/>
        <w:rPr>
          <w:rFonts w:ascii="Times New Roman"/>
        </w:rPr>
      </w:pPr>
      <w:r w:rsidRPr="00552645">
        <w:rPr>
          <w:rFonts w:ascii="Times New Roman"/>
        </w:rPr>
        <w:t>昌江县经验做法</w:t>
      </w:r>
    </w:p>
    <w:p w:rsidR="000C40C8" w:rsidRPr="00552645" w:rsidRDefault="000C40C8" w:rsidP="00552645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552645">
        <w:rPr>
          <w:rStyle w:val="Char3"/>
          <w:rFonts w:ascii="Times New Roman" w:hAnsi="Times New Roman" w:cs="Times New Roman"/>
        </w:rPr>
        <w:t>一是引进</w:t>
      </w:r>
      <w:r w:rsidRPr="00552645">
        <w:rPr>
          <w:rStyle w:val="Char3"/>
          <w:rFonts w:ascii="Times New Roman" w:hAnsi="Times New Roman" w:cs="Times New Roman"/>
        </w:rPr>
        <w:t>PPP</w:t>
      </w:r>
      <w:r w:rsidRPr="00552645">
        <w:rPr>
          <w:rStyle w:val="Char3"/>
          <w:rFonts w:ascii="Times New Roman" w:hAnsi="Times New Roman" w:cs="Times New Roman"/>
        </w:rPr>
        <w:t>模式，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打造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全面改薄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教育信息化工作的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升级版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。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年来，该县除了完成三年的全面改薄设备购置类项目外，</w:t>
      </w:r>
      <w:proofErr w:type="gramStart"/>
      <w:r w:rsidRPr="00552645">
        <w:rPr>
          <w:rFonts w:ascii="Times New Roman" w:eastAsia="仿宋_GB2312" w:hAnsi="仿宋_GB2312" w:cs="Times New Roman"/>
          <w:sz w:val="32"/>
          <w:szCs w:val="32"/>
        </w:rPr>
        <w:t>还启动</w:t>
      </w:r>
      <w:proofErr w:type="gramEnd"/>
      <w:r w:rsidRPr="00552645">
        <w:rPr>
          <w:rFonts w:ascii="Times New Roman" w:eastAsia="仿宋_GB2312" w:hAnsi="仿宋_GB2312" w:cs="Times New Roman"/>
          <w:sz w:val="32"/>
          <w:szCs w:val="32"/>
        </w:rPr>
        <w:t>了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互联网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+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教育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”PPP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项目。通过鼓励各类社会资本通过特许经营、政府购买服务、股权合作等方式参与昌江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互联网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+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教育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”PPP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项目建设及运营，用互联网手段打造海南第一个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互联网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+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教育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示范县。该项目总投资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1.1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亿元，建设内容包括教育资源管理云平台、电子书包、互动课堂、家庭互通、无线校园、教育光纤网络、录播教室、云计算中心大楼等。项目采用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PPP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模式，由社会资本全资建设，政府每年支付约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1985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万元用于购买服务，合作期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15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年，到期后所有资产将移交政府。项目建设完成后将惠及全县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8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个乡镇、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68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所公办中小学、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3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万余名中小学生和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3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千余名教师。</w:t>
      </w:r>
      <w:r w:rsidRPr="00552645">
        <w:rPr>
          <w:rStyle w:val="Char3"/>
          <w:rFonts w:ascii="Times New Roman" w:hAnsi="Times New Roman" w:cs="Times New Roman"/>
        </w:rPr>
        <w:t>二是多</w:t>
      </w:r>
      <w:proofErr w:type="gramStart"/>
      <w:r w:rsidRPr="00552645">
        <w:rPr>
          <w:rStyle w:val="Char3"/>
          <w:rFonts w:ascii="Times New Roman" w:hAnsi="Times New Roman" w:cs="Times New Roman"/>
        </w:rPr>
        <w:t>措</w:t>
      </w:r>
      <w:proofErr w:type="gramEnd"/>
      <w:r w:rsidRPr="00552645">
        <w:rPr>
          <w:rStyle w:val="Char3"/>
          <w:rFonts w:ascii="Times New Roman" w:hAnsi="Times New Roman" w:cs="Times New Roman"/>
        </w:rPr>
        <w:t>并举、精准发力，不断提升教师队伍建设水平。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依法落实教育经费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两个比例、三个增长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规定，确保政府教育支出占财政支出的比例不降低。除了足额安排专项经费用于教师专项培训的同时，积极落实乡村教师生活补助政策，按照省定标准通过财政工资系统按月发放。该县还通过引进中小学优秀校长和学科骨干教师以及招聘</w:t>
      </w:r>
      <w:proofErr w:type="gramStart"/>
      <w:r w:rsidRPr="00552645">
        <w:rPr>
          <w:rFonts w:ascii="Times New Roman" w:eastAsia="仿宋_GB2312" w:hAnsi="仿宋_GB2312" w:cs="Times New Roman"/>
          <w:sz w:val="32"/>
          <w:szCs w:val="32"/>
        </w:rPr>
        <w:t>特</w:t>
      </w:r>
      <w:proofErr w:type="gramEnd"/>
      <w:r w:rsidRPr="00552645">
        <w:rPr>
          <w:rFonts w:ascii="Times New Roman" w:eastAsia="仿宋_GB2312" w:hAnsi="仿宋_GB2312" w:cs="Times New Roman"/>
          <w:sz w:val="32"/>
          <w:szCs w:val="32"/>
        </w:rPr>
        <w:t>岗教师等方式补充新师资，重点满足乡村学校音乐、体育、美术、外语、信息技术等紧缺薄弱学科教师的补充。同时继续加快推进校长教</w:t>
      </w:r>
      <w:r w:rsidRPr="00552645">
        <w:rPr>
          <w:rFonts w:ascii="Times New Roman" w:eastAsia="仿宋_GB2312" w:hAnsi="仿宋_GB2312" w:cs="Times New Roman"/>
          <w:sz w:val="32"/>
          <w:szCs w:val="32"/>
        </w:rPr>
        <w:lastRenderedPageBreak/>
        <w:t>师交流工作。该县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年全面推进教师校长交流工作，通过在职称评审、岗位聘任、工作津贴等方面予以政策倾斜，鼓励优秀教师交流到薄弱学校、农村学校任教，实现优质教师资源的城乡均衡配置。近三年完成了中小学校长县域内交流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15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人次，校长双向交流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60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多人次。县域内教师调整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人次，城乡教师交流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65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人次，支教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90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多人次，农村师资队伍水平得到了有效提升。</w:t>
      </w:r>
    </w:p>
    <w:p w:rsidR="008602A9" w:rsidRPr="00552645" w:rsidRDefault="008602A9" w:rsidP="008602A9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52645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8602A9" w:rsidRPr="00552645" w:rsidRDefault="00552645" w:rsidP="008602A9">
      <w:pPr>
        <w:pStyle w:val="aa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附件</w:t>
      </w:r>
      <w:r w:rsidR="008602A9" w:rsidRPr="00552645">
        <w:rPr>
          <w:rFonts w:ascii="Times New Roman" w:hAnsi="Times New Roman" w:cs="Times New Roman" w:hint="eastAsia"/>
        </w:rPr>
        <w:t>2</w:t>
      </w:r>
      <w:r w:rsidR="008602A9" w:rsidRPr="00552645">
        <w:rPr>
          <w:rFonts w:ascii="Times New Roman" w:hAnsi="Times New Roman" w:cs="Times New Roman"/>
        </w:rPr>
        <w:t>：</w:t>
      </w:r>
    </w:p>
    <w:p w:rsidR="008602A9" w:rsidRPr="00552645" w:rsidRDefault="000C40C8" w:rsidP="008602A9">
      <w:pPr>
        <w:pStyle w:val="a8"/>
        <w:spacing w:before="289" w:after="289" w:line="600" w:lineRule="exact"/>
        <w:rPr>
          <w:rFonts w:ascii="Times New Roman"/>
        </w:rPr>
      </w:pPr>
      <w:r w:rsidRPr="00552645">
        <w:rPr>
          <w:rFonts w:ascii="Times New Roman"/>
        </w:rPr>
        <w:t>海口市经验做法</w:t>
      </w:r>
    </w:p>
    <w:p w:rsidR="000C40C8" w:rsidRPr="00552645" w:rsidRDefault="000C40C8" w:rsidP="00552645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552645">
        <w:rPr>
          <w:rStyle w:val="Char3"/>
          <w:rFonts w:ascii="Times New Roman" w:hAnsi="Times New Roman" w:cs="Times New Roman"/>
        </w:rPr>
        <w:t>一是领导重视，组织得力。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为加快推进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全面改薄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工作，海口市市长倪强、分管副市长朱永盛经常深入现场进行调研，协调解决工作推进中存在的问题，市政府还定期召开专项协调会议和督办会议，解决全面改薄项目推进的难题。针对一些项目存在的政策处理、</w:t>
      </w:r>
      <w:proofErr w:type="gramStart"/>
      <w:r w:rsidRPr="00552645">
        <w:rPr>
          <w:rFonts w:ascii="Times New Roman" w:eastAsia="仿宋_GB2312" w:hAnsi="仿宋_GB2312" w:cs="Times New Roman"/>
          <w:sz w:val="32"/>
          <w:szCs w:val="32"/>
        </w:rPr>
        <w:t>拆迁难</w:t>
      </w:r>
      <w:proofErr w:type="gramEnd"/>
      <w:r w:rsidRPr="00552645">
        <w:rPr>
          <w:rFonts w:ascii="Times New Roman" w:eastAsia="仿宋_GB2312" w:hAnsi="仿宋_GB2312" w:cs="Times New Roman"/>
          <w:sz w:val="32"/>
          <w:szCs w:val="32"/>
        </w:rPr>
        <w:t>等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硬骨头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问题，市教育局等部门和各区还专门成立工作领导小组，蹲点督办项目推进工作，落实工作责任，切实加快推进项目实施。</w:t>
      </w:r>
      <w:r w:rsidRPr="00552645">
        <w:rPr>
          <w:rStyle w:val="Char3"/>
          <w:rFonts w:ascii="Times New Roman" w:hAnsi="Times New Roman" w:cs="Times New Roman"/>
        </w:rPr>
        <w:t>二是加快审批，强化监管。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年该市建立了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全面改薄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等教育工程建设项目审批绿色通道，加快项目审批提速，做到一次性告知、随到随审、每周集中审批一次。同时强化项目管理，合理安排工期，实行倒排工期制度，认真落实建设资金、减免中小学学校建设项目收费，有力保障了全面改薄各项工作有序、高效地推进。</w:t>
      </w:r>
      <w:r w:rsidRPr="00552645">
        <w:rPr>
          <w:rStyle w:val="Char3"/>
          <w:rFonts w:ascii="Times New Roman" w:hAnsi="Times New Roman" w:cs="Times New Roman"/>
        </w:rPr>
        <w:t>三是明确目标，责任落实。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市、区两级教育主管部门，牢牢把握工作目标，加紧推进全面改薄项目进度。每个项目都列出各个项目的推进计划和每月实施目标，同时要求承建、施工等单位编制工作周计划，市教育汇总报送每周进度简报，进一步增强工作推进的计划性和主动性，一定程度上减少了盲目性和被动性，把工作逐步引入制度化、规范化的轨道。海口还实行了目标责任制，将推进实施的责任单位、工作目标和具体任务落实到位，各个层次和各个环节</w:t>
      </w:r>
      <w:r w:rsidRPr="00552645">
        <w:rPr>
          <w:rFonts w:ascii="Times New Roman" w:eastAsia="仿宋_GB2312" w:hAnsi="仿宋_GB2312" w:cs="Times New Roman"/>
          <w:sz w:val="32"/>
          <w:szCs w:val="32"/>
        </w:rPr>
        <w:lastRenderedPageBreak/>
        <w:t>目标明确、责任清晰。如</w:t>
      </w:r>
      <w:proofErr w:type="gramStart"/>
      <w:r w:rsidRPr="00552645">
        <w:rPr>
          <w:rFonts w:ascii="Times New Roman" w:eastAsia="仿宋_GB2312" w:hAnsi="仿宋_GB2312" w:cs="Times New Roman"/>
          <w:sz w:val="32"/>
          <w:szCs w:val="32"/>
        </w:rPr>
        <w:t>龙华区</w:t>
      </w:r>
      <w:proofErr w:type="gramEnd"/>
      <w:r w:rsidRPr="00552645">
        <w:rPr>
          <w:rFonts w:ascii="Times New Roman" w:eastAsia="仿宋_GB2312" w:hAnsi="仿宋_GB2312" w:cs="Times New Roman"/>
          <w:sz w:val="32"/>
          <w:szCs w:val="32"/>
        </w:rPr>
        <w:t>实行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一个项目、一名区级领导、一套班子、一抓到底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的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四个一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工作机制。琼山区建立了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一个项目、一名区级领导、一个单位负责、一套专门班子落实、一个具体方案实施、一个详细办法考核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的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六个一</w:t>
      </w:r>
      <w:r w:rsidRPr="005526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52645">
        <w:rPr>
          <w:rFonts w:ascii="Times New Roman" w:eastAsia="仿宋_GB2312" w:hAnsi="仿宋_GB2312" w:cs="Times New Roman"/>
          <w:sz w:val="32"/>
          <w:szCs w:val="32"/>
        </w:rPr>
        <w:t>工作机制。</w:t>
      </w:r>
    </w:p>
    <w:sectPr w:rsidR="000C40C8" w:rsidRPr="00552645" w:rsidSect="00AF01F1">
      <w:footerReference w:type="even" r:id="rId9"/>
      <w:footerReference w:type="default" r:id="rId10"/>
      <w:footerReference w:type="first" r:id="rId11"/>
      <w:pgSz w:w="11906" w:h="16838" w:code="9"/>
      <w:pgMar w:top="1440" w:right="1800" w:bottom="1440" w:left="1800" w:header="851" w:footer="850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10" w:rsidRDefault="00844610" w:rsidP="00383DE0">
      <w:r>
        <w:separator/>
      </w:r>
    </w:p>
  </w:endnote>
  <w:endnote w:type="continuationSeparator" w:id="0">
    <w:p w:rsidR="00844610" w:rsidRDefault="00844610" w:rsidP="003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09" w:rsidRPr="00D05951" w:rsidRDefault="006E159D" w:rsidP="00383DE0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 w:rsidRPr="00D05951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="00F36909" w:rsidRPr="00D05951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separate"/>
    </w:r>
    <w:r w:rsidR="00F36909">
      <w:rPr>
        <w:rStyle w:val="a5"/>
        <w:rFonts w:ascii="方正仿宋_GBK" w:eastAsia="方正仿宋_GBK"/>
        <w:noProof/>
        <w:sz w:val="28"/>
        <w:szCs w:val="28"/>
      </w:rPr>
      <w:t>- 2 -</w: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F36909" w:rsidRPr="002E04D7" w:rsidRDefault="00F36909" w:rsidP="00383DE0">
    <w:pPr>
      <w:pStyle w:val="a4"/>
      <w:ind w:leftChars="100" w:left="210" w:right="360" w:firstLine="36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F36909" w:rsidRPr="00FE5429" w:rsidRDefault="006E159D" w:rsidP="00BA319B">
        <w:pPr>
          <w:pStyle w:val="a4"/>
          <w:spacing w:beforeLines="50" w:before="120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F36909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BA319B" w:rsidRPr="00BA319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4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36909" w:rsidRPr="00FE5429" w:rsidRDefault="00F36909" w:rsidP="00FE5429">
    <w:pPr>
      <w:pStyle w:val="a4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0"/>
      <w:docPartObj>
        <w:docPartGallery w:val="Page Numbers (Bottom of Page)"/>
        <w:docPartUnique/>
      </w:docPartObj>
    </w:sdtPr>
    <w:sdtEndPr/>
    <w:sdtContent>
      <w:p w:rsidR="00F36909" w:rsidRDefault="006E159D">
        <w:pPr>
          <w:pStyle w:val="a4"/>
          <w:jc w:val="center"/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F36909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BA319B" w:rsidRPr="00BA319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36909" w:rsidRDefault="00F36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10" w:rsidRDefault="00844610" w:rsidP="00383DE0">
      <w:r>
        <w:separator/>
      </w:r>
    </w:p>
  </w:footnote>
  <w:footnote w:type="continuationSeparator" w:id="0">
    <w:p w:rsidR="00844610" w:rsidRDefault="00844610" w:rsidP="0038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9565"/>
    <w:multiLevelType w:val="singleLevel"/>
    <w:tmpl w:val="568C9565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E0"/>
    <w:rsid w:val="000C40C8"/>
    <w:rsid w:val="002C33A4"/>
    <w:rsid w:val="002D30E6"/>
    <w:rsid w:val="0035221A"/>
    <w:rsid w:val="00383DE0"/>
    <w:rsid w:val="004B6B7E"/>
    <w:rsid w:val="004C4894"/>
    <w:rsid w:val="00552645"/>
    <w:rsid w:val="0066682B"/>
    <w:rsid w:val="006E034C"/>
    <w:rsid w:val="006E159D"/>
    <w:rsid w:val="00844610"/>
    <w:rsid w:val="008602A9"/>
    <w:rsid w:val="00AF01F1"/>
    <w:rsid w:val="00B13090"/>
    <w:rsid w:val="00BA319B"/>
    <w:rsid w:val="00F12782"/>
    <w:rsid w:val="00F36909"/>
    <w:rsid w:val="00FE5429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F4D0-5EB7-4DA6-A787-E3E629D4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1174</Characters>
  <Application>Microsoft Office Word</Application>
  <DocSecurity>0</DocSecurity>
  <Lines>9</Lines>
  <Paragraphs>2</Paragraphs>
  <ScaleCrop>false</ScaleCrop>
  <Company>ybc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Administator</cp:lastModifiedBy>
  <cp:revision>2</cp:revision>
  <dcterms:created xsi:type="dcterms:W3CDTF">2017-03-01T06:24:00Z</dcterms:created>
  <dcterms:modified xsi:type="dcterms:W3CDTF">2017-03-01T06:24:00Z</dcterms:modified>
</cp:coreProperties>
</file>