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spacing w:after="156" w:afterLines="50"/>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东北大学201</w:t>
      </w:r>
      <w:r>
        <w:rPr>
          <w:rFonts w:hint="eastAsia" w:asciiTheme="majorEastAsia" w:hAnsiTheme="majorEastAsia" w:eastAsiaTheme="majorEastAsia"/>
          <w:b/>
          <w:sz w:val="44"/>
          <w:szCs w:val="44"/>
          <w:lang w:val="en-US" w:eastAsia="zh-CN"/>
        </w:rPr>
        <w:t>6</w:t>
      </w:r>
      <w:r>
        <w:rPr>
          <w:rFonts w:hint="eastAsia" w:asciiTheme="majorEastAsia" w:hAnsiTheme="majorEastAsia" w:eastAsiaTheme="majorEastAsia"/>
          <w:b/>
          <w:sz w:val="44"/>
          <w:szCs w:val="44"/>
        </w:rPr>
        <w:t>-201</w:t>
      </w:r>
      <w:r>
        <w:rPr>
          <w:rFonts w:hint="eastAsia" w:asciiTheme="majorEastAsia" w:hAnsiTheme="majorEastAsia" w:eastAsiaTheme="majorEastAsia"/>
          <w:b/>
          <w:sz w:val="44"/>
          <w:szCs w:val="44"/>
          <w:lang w:val="en-US" w:eastAsia="zh-CN"/>
        </w:rPr>
        <w:t>7</w:t>
      </w:r>
      <w:r>
        <w:rPr>
          <w:rFonts w:hint="eastAsia" w:asciiTheme="majorEastAsia" w:hAnsiTheme="majorEastAsia" w:eastAsiaTheme="majorEastAsia"/>
          <w:b/>
          <w:sz w:val="44"/>
          <w:szCs w:val="44"/>
        </w:rPr>
        <w:t>学年度信息公开清单情况</w:t>
      </w:r>
    </w:p>
    <w:tbl>
      <w:tblPr>
        <w:tblStyle w:val="7"/>
        <w:tblW w:w="1447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709"/>
        <w:gridCol w:w="1351"/>
        <w:gridCol w:w="3469"/>
        <w:gridCol w:w="4044"/>
        <w:gridCol w:w="4890"/>
        <w:gridCol w:w="12"/>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楷体" w:hAnsi="楷体" w:eastAsia="楷体" w:cs="宋体"/>
                <w:b/>
                <w:kern w:val="0"/>
                <w:sz w:val="28"/>
                <w:szCs w:val="28"/>
              </w:rPr>
            </w:pPr>
            <w:r>
              <w:rPr>
                <w:rFonts w:hint="eastAsia" w:ascii="楷体" w:hAnsi="楷体" w:eastAsia="楷体" w:cs="宋体"/>
                <w:b/>
                <w:bCs/>
                <w:kern w:val="0"/>
                <w:sz w:val="28"/>
                <w:szCs w:val="28"/>
              </w:rPr>
              <w:t>序号</w:t>
            </w:r>
          </w:p>
        </w:tc>
        <w:tc>
          <w:tcPr>
            <w:tcW w:w="1351"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楷体" w:hAnsi="楷体" w:eastAsia="楷体" w:cs="宋体"/>
                <w:b/>
                <w:kern w:val="0"/>
                <w:sz w:val="28"/>
                <w:szCs w:val="28"/>
              </w:rPr>
            </w:pPr>
            <w:r>
              <w:rPr>
                <w:rFonts w:hint="eastAsia" w:ascii="楷体" w:hAnsi="楷体" w:eastAsia="楷体" w:cs="宋体"/>
                <w:b/>
                <w:bCs/>
                <w:kern w:val="0"/>
                <w:sz w:val="28"/>
                <w:szCs w:val="28"/>
              </w:rPr>
              <w:t>类别</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楷体" w:hAnsi="楷体" w:eastAsia="楷体" w:cs="宋体"/>
                <w:b/>
                <w:kern w:val="0"/>
                <w:sz w:val="28"/>
                <w:szCs w:val="28"/>
              </w:rPr>
            </w:pPr>
            <w:r>
              <w:rPr>
                <w:rFonts w:hint="eastAsia" w:ascii="楷体" w:hAnsi="楷体" w:eastAsia="楷体" w:cs="宋体"/>
                <w:b/>
                <w:bCs/>
                <w:kern w:val="0"/>
                <w:sz w:val="28"/>
                <w:szCs w:val="28"/>
              </w:rPr>
              <w:t>公开事项</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楷体" w:hAnsi="楷体" w:eastAsia="楷体" w:cs="宋体"/>
                <w:b/>
                <w:bCs/>
                <w:kern w:val="0"/>
                <w:sz w:val="28"/>
                <w:szCs w:val="28"/>
              </w:rPr>
            </w:pPr>
            <w:r>
              <w:rPr>
                <w:rFonts w:hint="eastAsia" w:ascii="楷体" w:hAnsi="楷体" w:eastAsia="楷体" w:cs="宋体"/>
                <w:b/>
                <w:bCs/>
                <w:kern w:val="0"/>
                <w:sz w:val="28"/>
                <w:szCs w:val="28"/>
              </w:rPr>
              <w:t>责任部门</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ind w:left="227" w:leftChars="108"/>
              <w:jc w:val="center"/>
              <w:rPr>
                <w:rFonts w:eastAsia="仿宋_GB2312" w:cs="宋体" w:asciiTheme="majorHAnsi" w:hAnsiTheme="majorHAnsi"/>
                <w:b/>
                <w:bCs/>
                <w:kern w:val="0"/>
                <w:sz w:val="28"/>
                <w:szCs w:val="28"/>
              </w:rPr>
            </w:pPr>
            <w:r>
              <w:rPr>
                <w:rFonts w:ascii="楷体" w:hAnsi="楷体" w:eastAsia="楷体" w:cs="宋体"/>
                <w:b/>
                <w:bCs/>
                <w:kern w:val="0"/>
                <w:sz w:val="28"/>
                <w:szCs w:val="28"/>
              </w:rPr>
              <w:t>网址</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1</w:t>
            </w:r>
          </w:p>
        </w:tc>
        <w:tc>
          <w:tcPr>
            <w:tcW w:w="1351" w:type="dxa"/>
            <w:vMerge w:val="restart"/>
            <w:tcBorders>
              <w:top w:val="outset" w:color="000000" w:sz="6" w:space="0"/>
              <w:left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基本信息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（6项）</w:t>
            </w:r>
          </w:p>
        </w:tc>
        <w:tc>
          <w:tcPr>
            <w:tcW w:w="3469" w:type="dxa"/>
            <w:vMerge w:val="restart"/>
            <w:tcBorders>
              <w:top w:val="outset" w:color="000000" w:sz="6" w:space="0"/>
              <w:left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（1）办学规模、校级领导班子简介及分工、学校机构设置、学科情况、专业情况、各类在校生情况、教师和专业技术人员数量等办学基本情况</w:t>
            </w:r>
          </w:p>
        </w:tc>
        <w:tc>
          <w:tcPr>
            <w:tcW w:w="4044" w:type="dxa"/>
            <w:vMerge w:val="restart"/>
            <w:tcBorders>
              <w:top w:val="outset" w:color="000000" w:sz="6" w:space="0"/>
              <w:left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办学规模：校办</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校级领导班子简介及分工：党办、校办</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学校机构设置：人事处</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学科情况：学科处 研究生院</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专业情况：教务处</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各类在校生情况：学生处 教务处 研究生院 </w:t>
            </w:r>
          </w:p>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教师和专业技术人员数量：人事处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asciiTheme="majorHAnsi" w:hAnsiTheme="majorHAnsi"/>
                <w:color w:val="0000FF"/>
                <w:kern w:val="0"/>
                <w:sz w:val="22"/>
                <w:u w:val="single"/>
              </w:rPr>
            </w:pPr>
            <w:r>
              <w:rPr>
                <w:rFonts w:hint="eastAsia" w:eastAsia="仿宋_GB2312" w:cs="宋体" w:asciiTheme="majorHAnsi" w:hAnsiTheme="majorHAnsi"/>
                <w:kern w:val="0"/>
                <w:sz w:val="22"/>
              </w:rPr>
              <w:t>http://info.neu.edu.cn/pages/portal/xxgk/toDetail.action?id=0000000057bbaebf0157bbe9a8e80021&amp;llcs=10&amp;zxcd=&amp;name=undefined</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right w:val="outset" w:color="000000" w:sz="6" w:space="0"/>
            </w:tcBorders>
            <w:vAlign w:val="center"/>
          </w:tcPr>
          <w:p>
            <w:pPr>
              <w:widowControl/>
              <w:spacing w:line="320" w:lineRule="exact"/>
              <w:jc w:val="center"/>
              <w:rPr>
                <w:rFonts w:ascii="黑体" w:hAnsi="黑体" w:eastAsia="黑体" w:cs="宋体"/>
                <w:b/>
                <w:kern w:val="0"/>
                <w:sz w:val="24"/>
                <w:szCs w:val="24"/>
              </w:rPr>
            </w:pPr>
          </w:p>
        </w:tc>
        <w:tc>
          <w:tcPr>
            <w:tcW w:w="1351" w:type="dxa"/>
            <w:vMerge w:val="continue"/>
            <w:tcBorders>
              <w:left w:val="outset" w:color="000000" w:sz="6" w:space="0"/>
              <w:right w:val="outset" w:color="000000" w:sz="6" w:space="0"/>
            </w:tcBorders>
            <w:vAlign w:val="center"/>
          </w:tcPr>
          <w:p>
            <w:pPr>
              <w:widowControl/>
              <w:spacing w:line="320" w:lineRule="exact"/>
              <w:jc w:val="center"/>
              <w:rPr>
                <w:rFonts w:ascii="黑体" w:hAnsi="黑体" w:eastAsia="黑体" w:cs="宋体"/>
                <w:b/>
                <w:kern w:val="0"/>
                <w:sz w:val="24"/>
                <w:szCs w:val="24"/>
              </w:rPr>
            </w:pPr>
          </w:p>
        </w:tc>
        <w:tc>
          <w:tcPr>
            <w:tcW w:w="3469" w:type="dxa"/>
            <w:vMerge w:val="continue"/>
            <w:tcBorders>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p>
        </w:tc>
        <w:tc>
          <w:tcPr>
            <w:tcW w:w="4044" w:type="dxa"/>
            <w:vMerge w:val="continue"/>
            <w:tcBorders>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http://info.neu.edu.cn/pages/portal/xxgk/toLmList.action?id=402880f8504b4d6101504b5f09880002&amp;&amp;treelevel=3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（2）学校章程及制定的各项规章制度</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党办 政策法规办</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http://info.neu.edu.cn/pages/portal/xxgk/toLmList.action?id=402880f8504b4d6101504b5f09880003&amp;&amp;treelevel=3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（3）教职工代表大会相关制度、工作报告</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工会</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http://info.neu.edu.cn/pages/portal/xxgk/toLmList.action?id=402880f8504b4d6101504b5f09880004&amp;&amp;treelevel=3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（4）学术委员会相关制度、年度报告</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发展规划与学科建设处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http://info.neu.edu.cn/pages/portal/xxgk/toLmList.action?id=402880f8504b4d6101504b5f09880006&amp;&amp;treelevel=3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（5）学校发展规划、年度工作计划及重点工作安排</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学校发展规划：发展规划与学科建设处</w:t>
            </w:r>
          </w:p>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年度工作计划：党办 校办</w:t>
            </w:r>
          </w:p>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重点工作安排：党办 校办</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http://info.neu.edu.cn/pages/portal/xxgk/toLmList.action?id=402880f8504b4d6101504b5f09880005&amp;&amp;treelevel=3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outset" w:color="000000" w:sz="6" w:space="0"/>
              <w:bottom w:val="single" w:color="auto" w:sz="4"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outset" w:color="000000" w:sz="6" w:space="0"/>
              <w:bottom w:val="single" w:color="auto" w:sz="4"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single" w:color="auto" w:sz="4"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（6）信息公开年度报告</w:t>
            </w:r>
          </w:p>
        </w:tc>
        <w:tc>
          <w:tcPr>
            <w:tcW w:w="4044" w:type="dxa"/>
            <w:tcBorders>
              <w:top w:val="outset" w:color="000000" w:sz="6" w:space="0"/>
              <w:left w:val="outset" w:color="000000" w:sz="6" w:space="0"/>
              <w:bottom w:val="single" w:color="auto" w:sz="4"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校办</w:t>
            </w:r>
          </w:p>
        </w:tc>
        <w:tc>
          <w:tcPr>
            <w:tcW w:w="4890" w:type="dxa"/>
            <w:tcBorders>
              <w:top w:val="outset" w:color="000000" w:sz="6" w:space="0"/>
              <w:left w:val="outset" w:color="000000" w:sz="6" w:space="0"/>
              <w:bottom w:val="single" w:color="auto" w:sz="4"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http://info.neu.edu.cn/pages/portal/xxgk/toLmList.action?id=402880f8504b4d6101504b5f09880007&amp;&amp;treelevel=3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2</w:t>
            </w:r>
          </w:p>
        </w:tc>
        <w:tc>
          <w:tcPr>
            <w:tcW w:w="13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招生考试</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（8项）</w:t>
            </w: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（7）招生章程及特殊类型招生办法，分批次、分科类招生计划</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http://info.neu.edu.cn/pages/portal/xxgk/toLmList.action?id=402880f8504b4d6101504b5f09880009&amp;&amp;treelevel=3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（8）保送、自主选拔录取、高水平运动员和艺术特长生招生等特殊类型招生入选考生资格及测试结果</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http://info.neu.edu.cn/pages/portal/xxgk/toLmList.action?id=402880f8504b4d6101504b5f0988000a&amp;&amp;treelevel=3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（9）考生个人录取信息查询渠道和办法，分批次、分科类录取人数和录取最低分</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http://info.neu.edu.cn/pages/portal/xxgk/toLmList.action?id=402880f8504b4d6101504b5f0988000b&amp;&amp;treelevel=3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（10）招生咨询及考生申诉渠道，新生复查期间有关举报、调查及处理结果</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 教务处 纪委</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http://info.neu.edu.cn/pages/portal/xxgk/toLmList.action?id=402880f8504b4d6101504b5f0988000c&amp;&amp;treelevel=3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（11）研究生招生简章、招生专业目录、复试录取办法，各院（系、所）或学科、专业招收研究生人数</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http://info.neu.edu.cn/pages/portal/xxgk/toLmList.action?id=402880f8504b4d6101504b5f0988000d&amp;&amp;treelevel=3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（12）参加研究生复试的考生成绩</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http://info.neu.edu.cn/pages/portal/xxgk/toLmList.action?id=402880f8504b4d6101504b5f0988000e&amp;&amp;treelevel=3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（13）拟录取研究生名单</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rPr>
              <w:t>http://info.neu.edu.cn/pages/portal/xxgk/toLmList.action?id=402880f8504b4d6101504b5f0988000f&amp;&amp;treelevel=3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（14）研究生招生咨询及申诉渠道</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 纪委</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http://info.neu.edu.cn/pages/portal/xxgk/toLmList.action?id=402880f8504b4d6101504b5f09880010&amp;&amp;treelevel=3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1266" w:hRule="atLeast"/>
          <w:tblHeader/>
          <w:jc w:val="center"/>
        </w:trPr>
        <w:tc>
          <w:tcPr>
            <w:tcW w:w="709" w:type="dxa"/>
            <w:vMerge w:val="restart"/>
            <w:tcBorders>
              <w:top w:val="single" w:color="auto" w:sz="4" w:space="0"/>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p>
            <w:pPr>
              <w:spacing w:line="320" w:lineRule="exact"/>
              <w:jc w:val="center"/>
              <w:rPr>
                <w:rFonts w:ascii="黑体" w:hAnsi="黑体" w:eastAsia="黑体" w:cs="宋体"/>
                <w:b/>
                <w:kern w:val="0"/>
                <w:sz w:val="24"/>
                <w:szCs w:val="24"/>
              </w:rPr>
            </w:pPr>
            <w:r>
              <w:rPr>
                <w:rFonts w:hint="eastAsia" w:ascii="黑体" w:hAnsi="黑体" w:eastAsia="黑体" w:cs="宋体"/>
                <w:kern w:val="0"/>
                <w:sz w:val="24"/>
                <w:szCs w:val="24"/>
              </w:rPr>
              <w:t>3</w:t>
            </w:r>
          </w:p>
        </w:tc>
        <w:tc>
          <w:tcPr>
            <w:tcW w:w="1351" w:type="dxa"/>
            <w:vMerge w:val="restart"/>
            <w:tcBorders>
              <w:top w:val="single" w:color="auto" w:sz="4" w:space="0"/>
              <w:left w:val="single" w:color="auto" w:sz="4" w:space="0"/>
              <w:right w:val="single" w:color="auto" w:sz="4"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财务、资产及收费信息</w:t>
            </w:r>
          </w:p>
          <w:p>
            <w:pPr>
              <w:spacing w:line="320" w:lineRule="exact"/>
              <w:jc w:val="center"/>
              <w:rPr>
                <w:rFonts w:ascii="黑体" w:hAnsi="黑体" w:eastAsia="黑体" w:cs="宋体"/>
                <w:b/>
                <w:kern w:val="0"/>
                <w:sz w:val="24"/>
                <w:szCs w:val="24"/>
              </w:rPr>
            </w:pPr>
            <w:r>
              <w:rPr>
                <w:rFonts w:hint="eastAsia" w:ascii="黑体" w:hAnsi="黑体" w:eastAsia="黑体" w:cs="宋体"/>
                <w:kern w:val="0"/>
                <w:sz w:val="24"/>
                <w:szCs w:val="24"/>
              </w:rPr>
              <w:t>（7项）</w:t>
            </w:r>
          </w:p>
        </w:tc>
        <w:tc>
          <w:tcPr>
            <w:tcW w:w="3469" w:type="dxa"/>
            <w:tcBorders>
              <w:top w:val="single" w:color="auto" w:sz="4" w:space="0"/>
              <w:left w:val="single" w:color="auto" w:sz="4" w:space="0"/>
              <w:right w:val="single" w:color="auto" w:sz="4" w:space="0"/>
            </w:tcBorders>
            <w:vAlign w:val="center"/>
          </w:tcPr>
          <w:p>
            <w:pPr>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（15）财务、资产管理制度</w:t>
            </w:r>
          </w:p>
        </w:tc>
        <w:tc>
          <w:tcPr>
            <w:tcW w:w="4044" w:type="dxa"/>
            <w:tcBorders>
              <w:top w:val="single" w:color="auto" w:sz="4" w:space="0"/>
              <w:left w:val="single" w:color="auto" w:sz="4" w:space="0"/>
              <w:right w:val="single" w:color="auto" w:sz="4" w:space="0"/>
            </w:tcBorders>
            <w:vAlign w:val="center"/>
          </w:tcPr>
          <w:p>
            <w:pPr>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计划财经处 资产与实验室管理处</w:t>
            </w:r>
          </w:p>
        </w:tc>
        <w:tc>
          <w:tcPr>
            <w:tcW w:w="4890" w:type="dxa"/>
            <w:tcBorders>
              <w:top w:val="single" w:color="auto" w:sz="4" w:space="0"/>
              <w:left w:val="single" w:color="auto" w:sz="4" w:space="0"/>
              <w:right w:val="single" w:color="auto" w:sz="4" w:space="0"/>
            </w:tcBorders>
            <w:vAlign w:val="center"/>
          </w:tcPr>
          <w:p>
            <w:pPr>
              <w:spacing w:line="320" w:lineRule="exact"/>
            </w:pPr>
            <w:r>
              <w:rPr>
                <w:rFonts w:hint="eastAsia"/>
              </w:rPr>
              <w:t>http://info.neu.edu.cn/pages/portal/xxgk/toLmList.action?id=402880f8504b4d6101504b5f09880011&amp;&amp;treelevel=3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（16）受捐赠财产的使用与管理情况</w:t>
            </w:r>
          </w:p>
        </w:tc>
        <w:tc>
          <w:tcPr>
            <w:tcW w:w="404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对外联络处</w:t>
            </w:r>
          </w:p>
        </w:tc>
        <w:tc>
          <w:tcPr>
            <w:tcW w:w="48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http://info.neu.edu.cn/pages/portal/xxgk/toLmList.action?id=402880f8504b4d6101504b5f09880012&amp;&amp;treelevel=3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single" w:color="auto" w:sz="4" w:space="0"/>
              <w:left w:val="single" w:color="auto" w:sz="4"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（17）校办企业资产、负债、国有资产保值增值等信息</w:t>
            </w:r>
          </w:p>
        </w:tc>
        <w:tc>
          <w:tcPr>
            <w:tcW w:w="4044" w:type="dxa"/>
            <w:tcBorders>
              <w:top w:val="single" w:color="auto" w:sz="4" w:space="0"/>
              <w:left w:val="outset" w:color="000000" w:sz="6" w:space="0"/>
              <w:bottom w:val="outset" w:color="000000" w:sz="6" w:space="0"/>
              <w:right w:val="outset" w:color="000000" w:sz="6" w:space="0"/>
            </w:tcBorders>
            <w:vAlign w:val="center"/>
          </w:tcPr>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校办企业：科技产业集团</w:t>
            </w:r>
          </w:p>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国有资产管理：资产与实验室管理处</w:t>
            </w:r>
          </w:p>
        </w:tc>
        <w:tc>
          <w:tcPr>
            <w:tcW w:w="4890" w:type="dxa"/>
            <w:tcBorders>
              <w:top w:val="single" w:color="auto" w:sz="4"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http://info.neu.edu.cn/pages/portal/xxgk/toLmList.action?id=402880f8504b4d6101504b5f09880013&amp;&amp;treelevel=3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single" w:color="auto" w:sz="4"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（18）仪器设备、图书、药品等物资设备采购和重大基建工程的招投标</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资产与实验室管理处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http://info.neu.edu.cn/pages/portal/xxgk/toLmList.action?id=402880f8504b4d6101504b5f09880014&amp;&amp;treelevel=3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single" w:color="auto" w:sz="4"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（19）收支预算总表、收入预算表、支出预算表、财政拨款支出预算表</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计划财经处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http://info.neu.edu.cn/pages/portal/xxgk/toLmList.action?id=402880f8504b4d6101504b5f09880015&amp;&amp;treelevel=3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single" w:color="auto" w:sz="4"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（20）收支决算总表、收入决算表、支出决算表、财政拨款支出决算表</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计划财经处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http://info.neu.edu.cn/pages/portal/xxgk/toLmList.action?id=402880f8504b4d6101504b5f09880016&amp;&amp;treelevel=3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left w:val="single" w:color="auto" w:sz="4" w:space="0"/>
              <w:bottom w:val="outset" w:color="000000" w:sz="6"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left w:val="single" w:color="auto" w:sz="4" w:space="0"/>
              <w:bottom w:val="outset" w:color="000000" w:sz="6" w:space="0"/>
              <w:right w:val="single" w:color="auto" w:sz="4"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single" w:color="auto" w:sz="4"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（21）收费项目、收费依据、收费标准及投诉方式</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计划财经处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http://info.neu.edu.cn/pages/portal/xxgk/toLmList.action?id=402880f8504b4d6101504b5f09880017&amp;&amp;treelevel=3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4</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人事师资</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（5项）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（22）校级领导干部社会兼职情况</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党办 校办</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http://info.neu.edu.cn/pages/portal/xxgk/toLmList.action?id=402880f8504b4d6101504b5f09880018&amp;&amp;treelevel=3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（23）校级领导干部因公出国（境）情况</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国际合作与交流处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http://info.neu.edu.cn/pages/portal/xxgk/toLmList.action?id=402880f8504b4d6101504b5f09880218&amp;&amp;treelevel=3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（24）岗位设置管理与聘用办法</w:t>
            </w:r>
          </w:p>
        </w:tc>
        <w:tc>
          <w:tcPr>
            <w:tcW w:w="4044" w:type="dxa"/>
            <w:tcBorders>
              <w:top w:val="outset" w:color="000000" w:sz="6" w:space="0"/>
              <w:left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人事处</w:t>
            </w:r>
          </w:p>
        </w:tc>
        <w:tc>
          <w:tcPr>
            <w:tcW w:w="4890" w:type="dxa"/>
            <w:tcBorders>
              <w:top w:val="outset" w:color="000000" w:sz="6" w:space="0"/>
              <w:left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http://info.neu.edu.cn/pages/portal/xxgk/toLmList.action?id=402880f8504b4d6101504b5f0988001a&amp;&amp;treelevel=3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（25）校内中层干部任免、人员招聘信息</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干部任免：组织部</w:t>
            </w:r>
          </w:p>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人才招聘：人事处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http://info.neu.edu.cn/pages/portal/xxgk/toLmList.action?id=402880f8504b4d6101504b5f0988001b&amp;&amp;treelevel=3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（26）教职工争议解决办法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人事处 纪委</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http://info.neu.edu.cn/pages/portal/xxgk/toLmList.action?id=402880f8504b4d6101504b5f0988001c&amp;&amp;treelevel=3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398"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5</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教学质量</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（9项）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（27）本科生占全日制在校生总数的比例、教师数量及结构</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 人事处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http://info.neu.edu.cn/pages/portal/xxgk/toLmList.action?id=402880f8504b4d6101504b5f0988012c&amp;&amp;treelevel=3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（28）专业设置、当年新增专业、停招专业名单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http://info.neu.edu.cn/pages/portal/xxgk/toLmList.action?id=402880f8504b4d6101504b5f0988012b&amp;&amp;treelevel=3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（29）全校开设课程总门数、实践教学学分占总学分比例、选修课学分占总学分比例</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http://info.neu.edu.cn/pages/portal/xxgk/toLmList.action?id=402880f8504b4d6101504b5f0988012a&amp;&amp;treelevel=3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（30）主讲本科课程的教授占教授总数的比例、教授授本科课程占课程总门次数的比例</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http://info.neu.edu.cn/pages/portal/xxgk/toLmList.action?id=402880f8504b4d6101504b5f09880129&amp;&amp;treelevel=3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（31）促进毕业生就业的政策措施和指导服务</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学生指导服务中心</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http://info.neu.edu.cn/pages/portal/xxgk/toLmList.action?id=402880f8504b4d6101504b5f09880128&amp;&amp;treelevel=3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（32）毕业生的规模、结构、就业率、就业流向</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学生指导服务中心</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http://info.neu.edu.cn/pages/portal/xxgk/toLmList.action?id=402880f8504b4d6101504b5f09880127&amp;&amp;treelevel=3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997"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（33）高校毕业生就业质量年度报告</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学生指导服务中心</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http://info.neu.edu.cn/pages/portal/xxgk/toLmList.action?id=402880f8504b4d6101504b5f09880025&amp;&amp;treelevel=3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（34）艺术教育发展年度报告</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http://info.neu.edu.cn/pages/portal/xxgk/toLmList.action?id=402880f8504b4d6101504b5f09880126&amp;&amp;treelevel=3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（35）本科教学质量报告</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教务处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http://info.neu.edu.cn/pages/portal/xxgk/toLmList.action?id=402880f8504b4d6101504b5f09880024&amp;&amp;treelevel=3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6</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学生管理</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服务信息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（4项）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（36）学籍管理办法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本科生：教务处</w:t>
            </w:r>
          </w:p>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http://info.neu.edu.cn/pages/portal/xxgk/toLmList.action?id=000000005a42c198015a46ba9d990022&amp;&amp;treelevel=3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（37）学生奖学金、助学金、学费减免、助学贷款、勤工俭学的申请与管理规定</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本科生：学生处  学生指导服务中心</w:t>
            </w:r>
          </w:p>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研究生：研究生院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rPr>
              <w:t>http://info.neu.edu.cn/pages/portal/xxgk/toLmList.action?id=000000005a42c198015a46baeca20023&amp;&amp;treelevel=3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（38）学生奖励处罚办</w:t>
            </w:r>
            <w:bookmarkStart w:id="0" w:name="_GoBack"/>
            <w:bookmarkEnd w:id="0"/>
            <w:r>
              <w:rPr>
                <w:rFonts w:hint="eastAsia" w:ascii="仿宋_GB2312" w:hAnsi="宋体" w:eastAsia="仿宋_GB2312" w:cs="宋体"/>
                <w:kern w:val="0"/>
                <w:szCs w:val="21"/>
              </w:rPr>
              <w:t>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 教务处 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rPr>
              <w:t>http://info.neu.edu.cn/pages/portal/xxgk/toLmList.action?id=000000005a42c198015a4710371a0024&amp;&amp;treelevel=3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（39）学生申诉办法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学生处 教务处 研究生院 纪委</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http://info.neu.edu.cn/pages/portal/xxgk/toLmList.action?id=000000005a42c198015a46ba69d40021&amp;&amp;treelevel=3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rHeight w:val="867"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7</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学风建设</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（3项）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（40）学风建设机构</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发展规划与学科建设处</w:t>
            </w:r>
          </w:p>
        </w:tc>
        <w:tc>
          <w:tcPr>
            <w:tcW w:w="4902" w:type="dxa"/>
            <w:gridSpan w:val="2"/>
            <w:tcBorders>
              <w:top w:val="outset" w:color="000000" w:sz="6" w:space="0"/>
              <w:left w:val="outset" w:color="000000" w:sz="6" w:space="0"/>
              <w:bottom w:val="outset" w:color="000000" w:sz="6" w:space="0"/>
              <w:right w:val="outset" w:color="000000" w:sz="6" w:space="0"/>
            </w:tcBorders>
            <w:vAlign w:val="center"/>
          </w:tcPr>
          <w:p>
            <w:pPr>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http://info.neu.edu.cn/pages/portal/xxgk/toLmList.action?id=402880f8504b4d6101504b5f0988002a&amp;&amp;treelevel=3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（41）学术规范制度</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发展规划与学科建设处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http://info.neu.edu.cn/pages/portal/xxgk/toLmList.action?id=402880f8504b4d6101504b5f0988002b&amp;&amp;treelevel=3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（42）学术不端行为查处机制</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发展规划与学科建设处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http://info.neu.edu.cn/pages/portal/xxgk/toLmList.action?id=402880f8504b4d6101504b5f0988002c&amp;&amp;treelevel=3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8</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学位、学科</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（4项）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（43）授予博士、硕士、学士学位的基本要求</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  教务处</w:t>
            </w:r>
          </w:p>
          <w:p>
            <w:pPr>
              <w:widowControl/>
              <w:spacing w:line="320" w:lineRule="exact"/>
              <w:jc w:val="center"/>
              <w:rPr>
                <w:rFonts w:ascii="仿宋_GB2312" w:hAnsi="宋体" w:eastAsia="仿宋_GB2312" w:cs="宋体"/>
                <w:kern w:val="0"/>
                <w:szCs w:val="21"/>
              </w:rPr>
            </w:pP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http://info.neu.edu.cn/pages/portal/xxgk/toLmList.action?id=402880f8504b4d6101504b5f0988002d&amp;&amp;treelevel=3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（44）拟授予硕士、博士学位同等学力人员资格审查和学力水平认定</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http://info.neu.edu.cn/pages/portal/xxgk/toLmList.action?id=402880f8504b4d6101504b5f0988002e&amp;&amp;treelevel=3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（45）新增硕士、博士学位授权学科或专业学位授权点审核办法</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rPr>
              <w:t>http://info.neu.edu.cn/pages/portal/xxgk/toLmList.action?id=402880f8504b4d6101504b5f0988002f&amp;&amp;treelevel=3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（46）拟新增学位授权学科或专业学位授权点的申报及论证材料</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研究生院</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http://info.neu.edu.cn/pages/portal/xxgk/toLmList.action?id=402880f8504b4d6101504b5f09880030&amp;&amp;treelevel=3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9</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对外交流与合作信息</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（2项）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（47）中外合作办学情况</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国际合作与交流处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http://info.neu.edu.cn/pages/portal/xxgk/toLmList.action?id=402880f8504b4d6101504b5f09880031&amp;&amp;treelevel=3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黑体" w:hAnsi="黑体" w:eastAsia="黑体" w:cs="宋体"/>
                <w:b/>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（48）来华留学生管理相关规定</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国际合作与交流处</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http://info.neu.edu.cn/pages/portal/xxgk/toLmList.action?id=402880f8504b4d6101504b5f09880032&amp;&amp;treelevel=3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10</w:t>
            </w:r>
          </w:p>
        </w:tc>
        <w:tc>
          <w:tcPr>
            <w:tcW w:w="1351" w:type="dxa"/>
            <w:vMerge w:val="restart"/>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其他</w:t>
            </w:r>
          </w:p>
          <w:p>
            <w:pPr>
              <w:widowControl/>
              <w:spacing w:line="320" w:lineRule="exact"/>
              <w:jc w:val="center"/>
              <w:rPr>
                <w:rFonts w:ascii="黑体" w:hAnsi="黑体" w:eastAsia="黑体" w:cs="宋体"/>
                <w:kern w:val="0"/>
                <w:sz w:val="24"/>
                <w:szCs w:val="24"/>
              </w:rPr>
            </w:pPr>
            <w:r>
              <w:rPr>
                <w:rFonts w:hint="eastAsia" w:ascii="黑体" w:hAnsi="黑体" w:eastAsia="黑体" w:cs="宋体"/>
                <w:kern w:val="0"/>
                <w:sz w:val="24"/>
                <w:szCs w:val="24"/>
              </w:rPr>
              <w:t>（2项）</w:t>
            </w: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（49）巡视组反馈意见，落实反馈意见整改情况</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center"/>
              <w:rPr>
                <w:rFonts w:ascii="仿宋_GB2312" w:hAnsi="宋体" w:eastAsia="仿宋_GB2312" w:cs="宋体"/>
                <w:kern w:val="0"/>
                <w:szCs w:val="21"/>
              </w:rPr>
            </w:pPr>
            <w:r>
              <w:rPr>
                <w:rFonts w:hint="eastAsia" w:ascii="仿宋_GB2312" w:hAnsi="宋体" w:eastAsia="仿宋_GB2312" w:cs="宋体"/>
                <w:kern w:val="0"/>
                <w:szCs w:val="21"/>
              </w:rPr>
              <w:t>党办 组织部</w:t>
            </w:r>
          </w:p>
        </w:tc>
        <w:tc>
          <w:tcPr>
            <w:tcW w:w="4890" w:type="dxa"/>
            <w:tcBorders>
              <w:top w:val="outset" w:color="000000" w:sz="6" w:space="0"/>
              <w:left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http://info.neu.edu.cn/pages/portal/xxgk/toLmList.action?id=402880f8504b4d6101504b5f09880034&amp;&amp;treelevel=3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gridAfter w:val="1"/>
          <w:wAfter w:w="12" w:type="dxa"/>
          <w:trHeight w:val="20" w:hRule="atLeast"/>
          <w:tblHeader/>
          <w:jc w:val="center"/>
        </w:trPr>
        <w:tc>
          <w:tcPr>
            <w:tcW w:w="709"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宋体" w:hAnsi="宋体" w:cs="宋体"/>
                <w:kern w:val="0"/>
                <w:sz w:val="24"/>
                <w:szCs w:val="24"/>
              </w:rPr>
            </w:pPr>
          </w:p>
        </w:tc>
        <w:tc>
          <w:tcPr>
            <w:tcW w:w="1351" w:type="dxa"/>
            <w:vMerge w:val="continue"/>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宋体" w:hAnsi="宋体" w:cs="宋体"/>
                <w:kern w:val="0"/>
                <w:sz w:val="24"/>
                <w:szCs w:val="24"/>
              </w:rPr>
            </w:pPr>
          </w:p>
        </w:tc>
        <w:tc>
          <w:tcPr>
            <w:tcW w:w="3469"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jc w:val="left"/>
              <w:rPr>
                <w:rFonts w:ascii="仿宋_GB2312" w:hAnsi="宋体" w:eastAsia="仿宋_GB2312" w:cs="宋体"/>
                <w:kern w:val="0"/>
                <w:szCs w:val="21"/>
              </w:rPr>
            </w:pPr>
            <w:r>
              <w:rPr>
                <w:rFonts w:hint="eastAsia" w:ascii="仿宋_GB2312" w:hAnsi="宋体" w:eastAsia="仿宋_GB2312" w:cs="宋体"/>
                <w:kern w:val="0"/>
                <w:szCs w:val="21"/>
              </w:rPr>
              <w:t>（50）自然灾害等突发事件的应急处理预案、预警信息和处置情况，涉及学校的重大事件的调查和处理情况</w:t>
            </w:r>
          </w:p>
        </w:tc>
        <w:tc>
          <w:tcPr>
            <w:tcW w:w="4044"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 xml:space="preserve">预案及处置情况： </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安委办</w:t>
            </w:r>
          </w:p>
          <w:p>
            <w:pPr>
              <w:widowControl/>
              <w:spacing w:line="320" w:lineRule="exact"/>
              <w:rPr>
                <w:rFonts w:ascii="仿宋_GB2312" w:hAnsi="宋体" w:eastAsia="仿宋_GB2312" w:cs="宋体"/>
                <w:kern w:val="0"/>
                <w:szCs w:val="21"/>
              </w:rPr>
            </w:pPr>
            <w:r>
              <w:rPr>
                <w:rFonts w:hint="eastAsia" w:ascii="仿宋_GB2312" w:hAnsi="宋体" w:eastAsia="仿宋_GB2312" w:cs="宋体"/>
                <w:kern w:val="0"/>
                <w:szCs w:val="21"/>
              </w:rPr>
              <w:t>重大事件调查处理：安委办</w:t>
            </w:r>
          </w:p>
        </w:tc>
        <w:tc>
          <w:tcPr>
            <w:tcW w:w="4890" w:type="dxa"/>
            <w:tcBorders>
              <w:top w:val="outset" w:color="000000" w:sz="6" w:space="0"/>
              <w:left w:val="outset" w:color="000000" w:sz="6" w:space="0"/>
              <w:bottom w:val="outset" w:color="000000" w:sz="6" w:space="0"/>
              <w:right w:val="outset" w:color="000000" w:sz="6" w:space="0"/>
            </w:tcBorders>
            <w:vAlign w:val="center"/>
          </w:tcPr>
          <w:p>
            <w:pPr>
              <w:widowControl/>
              <w:spacing w:line="320" w:lineRule="exact"/>
              <w:rPr>
                <w:rFonts w:eastAsia="仿宋_GB2312" w:cs="宋体" w:asciiTheme="majorHAnsi" w:hAnsiTheme="majorHAnsi"/>
                <w:kern w:val="0"/>
                <w:sz w:val="22"/>
              </w:rPr>
            </w:pPr>
            <w:r>
              <w:rPr>
                <w:rFonts w:hint="eastAsia" w:eastAsia="仿宋_GB2312" w:cs="宋体" w:asciiTheme="majorHAnsi" w:hAnsiTheme="majorHAnsi"/>
                <w:kern w:val="0"/>
                <w:sz w:val="22"/>
              </w:rPr>
              <w:t>http://info.neu.edu.cn/pages/portal/xxgk/toLmList.action?id=402880f8504b4d6101504b5f09880035&amp;&amp;treelevel=3</w:t>
            </w:r>
          </w:p>
        </w:tc>
      </w:tr>
    </w:tbl>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1705131"/>
    </w:sdtPr>
    <w:sdtContent>
      <w:p>
        <w:pPr>
          <w:pStyle w:val="2"/>
          <w:jc w:val="center"/>
        </w:pPr>
        <w:r>
          <w:fldChar w:fldCharType="begin"/>
        </w:r>
        <w:r>
          <w:instrText xml:space="preserve">PAGE   \* MERGEFORMAT</w:instrText>
        </w:r>
        <w:r>
          <w:fldChar w:fldCharType="separate"/>
        </w:r>
        <w:r>
          <w:rPr>
            <w:lang w:val="zh-CN"/>
          </w:rPr>
          <w:t>3</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DE8"/>
    <w:rsid w:val="00136B0A"/>
    <w:rsid w:val="0015175F"/>
    <w:rsid w:val="00176DE8"/>
    <w:rsid w:val="00495003"/>
    <w:rsid w:val="00812AA8"/>
    <w:rsid w:val="008176BD"/>
    <w:rsid w:val="008B519C"/>
    <w:rsid w:val="00A247FA"/>
    <w:rsid w:val="00A445C2"/>
    <w:rsid w:val="00AE0903"/>
    <w:rsid w:val="00AE3A01"/>
    <w:rsid w:val="00C71EF3"/>
    <w:rsid w:val="00DB117D"/>
    <w:rsid w:val="00F057DA"/>
    <w:rsid w:val="668F2925"/>
    <w:rsid w:val="720443FD"/>
    <w:rsid w:val="7A250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2137</Words>
  <Characters>12184</Characters>
  <Lines>101</Lines>
  <Paragraphs>28</Paragraphs>
  <ScaleCrop>false</ScaleCrop>
  <LinksUpToDate>false</LinksUpToDate>
  <CharactersWithSpaces>14293</CharactersWithSpaces>
  <Application>WPS Office_10.1.0.6874_F1E327BC-269C-435d-A152-05C5408002CA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2016-10-31T02:36:00Z</dcterms:created>
  <dc:creator>lenovo</dc:creator>
  <cp:lastModifiedBy>LY</cp:lastModifiedBy>
  <dcterms:modified xsi:type="dcterms:W3CDTF">2017-10-25T07:45:49Z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