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sz w:val="28"/>
        </w:rPr>
      </w:pPr>
      <w:r>
        <w:rPr>
          <w:sz w:val="28"/>
        </w:rPr>
        <w:t>　　</w:t>
      </w:r>
    </w:p>
    <w:p>
      <w:pPr>
        <w:jc w:val="center"/>
        <w:rPr>
          <w:rFonts w:ascii="黑体" w:eastAsia="黑体"/>
          <w:sz w:val="44"/>
          <w:szCs w:val="44"/>
        </w:rPr>
      </w:pPr>
      <w:r>
        <w:rPr>
          <w:rFonts w:ascii="黑体" w:eastAsia="黑体" w:hint="eastAsia"/>
          <w:sz w:val="44"/>
          <w:szCs w:val="44"/>
        </w:rPr>
        <w:t>云南省大型科研仪器开放共享管理</w:t>
      </w:r>
    </w:p>
    <w:p>
      <w:pPr>
        <w:jc w:val="center"/>
        <w:rPr>
          <w:rFonts w:ascii="黑体" w:eastAsia="黑体" w:hint="eastAsia"/>
          <w:sz w:val="44"/>
          <w:szCs w:val="44"/>
        </w:rPr>
      </w:pPr>
      <w:r>
        <w:rPr>
          <w:rFonts w:ascii="黑体" w:eastAsia="黑体" w:hint="eastAsia"/>
          <w:sz w:val="44"/>
          <w:szCs w:val="44"/>
        </w:rPr>
        <w:t>暂行办法</w:t>
      </w:r>
    </w:p>
    <w:p>
      <w:pPr>
        <w:jc w:val="center"/>
        <w:rPr>
          <w:sz w:val="28"/>
        </w:rPr>
      </w:pPr>
      <w:r>
        <w:rPr>
          <w:sz w:val="28"/>
        </w:rPr>
        <w:t>登记编号：云府登1446号</w:t>
      </w:r>
    </w:p>
    <w:p>
      <w:pPr>
        <w:jc w:val="center"/>
        <w:rPr>
          <w:sz w:val="28"/>
        </w:rPr>
      </w:pPr>
    </w:p>
    <w:p>
      <w:pPr>
        <w:rPr>
          <w:sz w:val="28"/>
        </w:rPr>
      </w:pPr>
      <w:r>
        <w:rPr>
          <w:sz w:val="28"/>
        </w:rPr>
        <w:t>　　第一章  总则</w:t>
      </w:r>
    </w:p>
    <w:p>
      <w:pPr>
        <w:rPr>
          <w:sz w:val="28"/>
        </w:rPr>
      </w:pPr>
      <w:r>
        <w:rPr>
          <w:sz w:val="28"/>
        </w:rPr>
        <w:t>　　第一条  为促进云南省大型科研仪器开放共享，提高科技资源使用效率，增强科技创新能力，充分发挥大型科研仪器资源对大众创业、万众创新的服务和支撑作用。根据《国务院关于国家重大科研基础设施和大型科研仪器向社会开放的意见》（国发〔2014〕70号）和《云南省人民政府关于加强重大科研基础设施和大型科研仪器向社会开放的实施意见》（云政发〔2015〕48号），制定本办法。</w:t>
      </w:r>
    </w:p>
    <w:p>
      <w:pPr>
        <w:rPr>
          <w:sz w:val="28"/>
        </w:rPr>
      </w:pPr>
      <w:r>
        <w:rPr>
          <w:sz w:val="28"/>
        </w:rPr>
        <w:t>　　第二条  云南省行政区域内的大型科研仪器开放共享适用本办法。法律、法规另有规定的，从其规定。</w:t>
      </w:r>
    </w:p>
    <w:p>
      <w:pPr>
        <w:rPr>
          <w:sz w:val="28"/>
        </w:rPr>
      </w:pPr>
      <w:r>
        <w:rPr>
          <w:sz w:val="28"/>
        </w:rPr>
        <w:t>　　本办法所称的大型科研仪器，主要是指单台套价值在20万元人民币以上，在科学研究、技术开发及其他科技活动中发挥重要作用的仪器设备。</w:t>
      </w:r>
    </w:p>
    <w:p>
      <w:pPr>
        <w:rPr>
          <w:sz w:val="28"/>
        </w:rPr>
      </w:pPr>
      <w:r>
        <w:rPr>
          <w:sz w:val="28"/>
        </w:rPr>
        <w:t>　　本办法所称的开放共享，主要是指云南省行政区域内的高等学校、科研院所、企事业单位等大型科研仪器管理单位（以下简称“管理单位”）将大型科研仪器向社会开放共享，由其他单位、个人（以下统称“用户”）用于科学研究或技术开发的行为。</w:t>
      </w:r>
    </w:p>
    <w:p>
      <w:pPr>
        <w:rPr>
          <w:sz w:val="28"/>
        </w:rPr>
      </w:pPr>
      <w:r>
        <w:rPr>
          <w:sz w:val="28"/>
        </w:rPr>
        <w:t>　　第三条  大型科研仪器开放共享的原则：</w:t>
      </w:r>
    </w:p>
    <w:p>
      <w:pPr>
        <w:rPr>
          <w:sz w:val="28"/>
        </w:rPr>
      </w:pPr>
      <w:r>
        <w:rPr>
          <w:sz w:val="28"/>
        </w:rPr>
        <w:t>　　（一）实现大型科研仪器资源共享，提高利用率；</w:t>
      </w:r>
    </w:p>
    <w:p>
      <w:pPr>
        <w:rPr>
          <w:sz w:val="28"/>
        </w:rPr>
      </w:pPr>
      <w:r>
        <w:rPr>
          <w:sz w:val="28"/>
        </w:rPr>
        <w:t>　　（二）合理配置科技资源，杜绝浪费，避免重复购置和盲目购买；</w:t>
      </w:r>
    </w:p>
    <w:p>
      <w:pPr>
        <w:rPr>
          <w:sz w:val="28"/>
        </w:rPr>
      </w:pPr>
      <w:r>
        <w:rPr>
          <w:sz w:val="28"/>
        </w:rPr>
        <w:t>　　（三）探索和建立多元化的大型科研仪器开放共享的运行模式，鼓励大型科研仪器向社会用户开放，充分释放服务潜能，为全省经济社会发展提供有力科技支撑。</w:t>
      </w:r>
    </w:p>
    <w:p>
      <w:pPr>
        <w:rPr>
          <w:sz w:val="28"/>
        </w:rPr>
      </w:pPr>
      <w:r>
        <w:rPr>
          <w:sz w:val="28"/>
        </w:rPr>
        <w:t>　　第二章  组织机构与职责</w:t>
      </w:r>
    </w:p>
    <w:p>
      <w:pPr>
        <w:rPr>
          <w:sz w:val="28"/>
        </w:rPr>
      </w:pPr>
      <w:r>
        <w:rPr>
          <w:sz w:val="28"/>
        </w:rPr>
        <w:t>　　第四条  设立云南省大型科研仪器开放共享工作领导小组（以下简称“领导小组”）。组长由省科技厅主要领导担任，副组长由省财政厅、教育厅等相关部门负责人组成，成员由相关部门处室负责人组成。领导小组主要职责包括：</w:t>
      </w:r>
    </w:p>
    <w:p>
      <w:pPr>
        <w:rPr>
          <w:sz w:val="28"/>
        </w:rPr>
      </w:pPr>
      <w:r>
        <w:rPr>
          <w:sz w:val="28"/>
        </w:rPr>
        <w:t>　　（一）审定云南省大型科研仪器开放共享服务管理平台（以下简称“省共享平台”）的发展方向、目标和任务。</w:t>
      </w:r>
    </w:p>
    <w:p>
      <w:pPr>
        <w:rPr>
          <w:sz w:val="28"/>
        </w:rPr>
      </w:pPr>
      <w:r>
        <w:rPr>
          <w:sz w:val="28"/>
        </w:rPr>
        <w:t>　　（二）统筹全省大型科研仪器开放共享工作，协调解决工作中的重大问题。</w:t>
      </w:r>
    </w:p>
    <w:p>
      <w:pPr>
        <w:rPr>
          <w:sz w:val="28"/>
        </w:rPr>
      </w:pPr>
      <w:r>
        <w:rPr>
          <w:sz w:val="28"/>
        </w:rPr>
        <w:t>　　（三）制定完善相关管理制度。</w:t>
      </w:r>
    </w:p>
    <w:p>
      <w:pPr>
        <w:rPr>
          <w:sz w:val="28"/>
        </w:rPr>
      </w:pPr>
      <w:r>
        <w:rPr>
          <w:sz w:val="28"/>
        </w:rPr>
        <w:t>　　（四）完成其他需要开展的管理工作。</w:t>
      </w:r>
    </w:p>
    <w:p>
      <w:pPr>
        <w:rPr>
          <w:sz w:val="28"/>
        </w:rPr>
      </w:pPr>
      <w:r>
        <w:rPr>
          <w:sz w:val="28"/>
        </w:rPr>
        <w:t>　　第五条  在省科技厅设立大型科研仪器开放共享工作领导小组办公室（以下简称“大仪办”），作为领导小组的日常工作机构。大仪办主要职责包括：</w:t>
      </w:r>
    </w:p>
    <w:p>
      <w:pPr>
        <w:rPr>
          <w:sz w:val="28"/>
        </w:rPr>
      </w:pPr>
      <w:r>
        <w:rPr>
          <w:sz w:val="28"/>
        </w:rPr>
        <w:t>　　（一）制定大型科研仪器开放共享年度工作计划。</w:t>
      </w:r>
    </w:p>
    <w:p>
      <w:pPr>
        <w:rPr>
          <w:sz w:val="28"/>
        </w:rPr>
      </w:pPr>
      <w:r>
        <w:rPr>
          <w:sz w:val="28"/>
        </w:rPr>
        <w:t>　　（二）组织开展开放共享服务绩效评价工作。</w:t>
      </w:r>
    </w:p>
    <w:p>
      <w:pPr>
        <w:rPr>
          <w:sz w:val="28"/>
        </w:rPr>
      </w:pPr>
      <w:r>
        <w:rPr>
          <w:sz w:val="28"/>
        </w:rPr>
        <w:t>　　（三）探索创新券与大型科研仪器开放共享结合政策，进一步推进科技资源的开放共享工作。</w:t>
      </w:r>
    </w:p>
    <w:p>
      <w:pPr>
        <w:rPr>
          <w:sz w:val="28"/>
        </w:rPr>
      </w:pPr>
      <w:r>
        <w:rPr>
          <w:sz w:val="28"/>
        </w:rPr>
        <w:t>　　（四）组织开展省级新购大型科研仪器联合评议工作。</w:t>
      </w:r>
    </w:p>
    <w:p>
      <w:pPr>
        <w:rPr>
          <w:sz w:val="28"/>
        </w:rPr>
      </w:pPr>
      <w:r>
        <w:rPr>
          <w:sz w:val="28"/>
        </w:rPr>
        <w:t>　　（五）在领导小组的领导下，完成其他管理协调工作。</w:t>
      </w:r>
    </w:p>
    <w:p>
      <w:pPr>
        <w:rPr>
          <w:sz w:val="28"/>
        </w:rPr>
      </w:pPr>
      <w:r>
        <w:rPr>
          <w:sz w:val="28"/>
        </w:rPr>
        <w:t xml:space="preserve">　　第六条  大仪办委托第三方中介机构协助开展以下工作： </w:t>
      </w:r>
    </w:p>
    <w:p>
      <w:pPr>
        <w:rPr>
          <w:sz w:val="28"/>
        </w:rPr>
      </w:pPr>
      <w:r>
        <w:rPr>
          <w:sz w:val="28"/>
        </w:rPr>
        <w:t>　　（一）组织协调管理单位向社会提供服务。</w:t>
      </w:r>
    </w:p>
    <w:p>
      <w:pPr>
        <w:rPr>
          <w:sz w:val="28"/>
        </w:rPr>
      </w:pPr>
      <w:r>
        <w:rPr>
          <w:sz w:val="28"/>
        </w:rPr>
        <w:t>　　（二）审核管理单位加入省共享平台的申请。</w:t>
      </w:r>
    </w:p>
    <w:p>
      <w:pPr>
        <w:rPr>
          <w:sz w:val="28"/>
        </w:rPr>
      </w:pPr>
      <w:r>
        <w:rPr>
          <w:sz w:val="28"/>
        </w:rPr>
        <w:t>　　（三）指导管理单位建立完善开放共享工作制度。</w:t>
      </w:r>
    </w:p>
    <w:p>
      <w:pPr>
        <w:rPr>
          <w:sz w:val="28"/>
        </w:rPr>
      </w:pPr>
      <w:r>
        <w:rPr>
          <w:sz w:val="28"/>
        </w:rPr>
        <w:t>　　（四）负责省共享平台的建设与维护工作，并对省共享平台进行宣传和推广。</w:t>
      </w:r>
    </w:p>
    <w:p>
      <w:pPr>
        <w:rPr>
          <w:sz w:val="28"/>
        </w:rPr>
      </w:pPr>
      <w:r>
        <w:rPr>
          <w:sz w:val="28"/>
        </w:rPr>
        <w:t>　　（五）在大仪办的指导下，组织开展大型科研仪器开放共享信息查询、服务推介、技术培训、学术交流等活动。</w:t>
      </w:r>
    </w:p>
    <w:p>
      <w:pPr>
        <w:rPr>
          <w:sz w:val="28"/>
        </w:rPr>
      </w:pPr>
      <w:r>
        <w:rPr>
          <w:sz w:val="28"/>
        </w:rPr>
        <w:t>　　（六）协助大仪办完成开放共享服务绩效评价、联合评议等相关工作。</w:t>
      </w:r>
    </w:p>
    <w:p>
      <w:pPr>
        <w:rPr>
          <w:sz w:val="28"/>
        </w:rPr>
      </w:pPr>
      <w:r>
        <w:rPr>
          <w:sz w:val="28"/>
        </w:rPr>
        <w:t>　　第三章 仪器共享与协作共用</w:t>
      </w:r>
    </w:p>
    <w:p>
      <w:pPr>
        <w:rPr>
          <w:sz w:val="28"/>
        </w:rPr>
      </w:pPr>
      <w:r>
        <w:rPr>
          <w:sz w:val="28"/>
        </w:rPr>
        <w:t>　　第七条  管理单位应建立和完善大型科研仪器开放共享工作制度。管理单位使用全额或部分财政性资金购置的大型科研仪器，应当在仪器正常使用后30个工作日内，在省共享平台发布仪器基本信息，面向社会开放共享，并及时在省共享平台上更新大型科研仪器信息。</w:t>
      </w:r>
    </w:p>
    <w:p>
      <w:pPr>
        <w:rPr>
          <w:sz w:val="28"/>
        </w:rPr>
      </w:pPr>
      <w:r>
        <w:rPr>
          <w:sz w:val="28"/>
        </w:rPr>
        <w:t>　　第八条  鼓励管理单位将以非财政资金购置的大型科研仪器通过共享平台公布，并面向社会开放共享。</w:t>
      </w:r>
    </w:p>
    <w:p>
      <w:pPr>
        <w:rPr>
          <w:sz w:val="28"/>
        </w:rPr>
      </w:pPr>
      <w:r>
        <w:rPr>
          <w:sz w:val="28"/>
        </w:rPr>
        <w:t xml:space="preserve">　　第九条  管理单位要做好开放共享仪器的保养维护工作，保障仪器设备具有良好的运行状态和足够的对外服务时间。 </w:t>
      </w:r>
    </w:p>
    <w:p>
      <w:pPr>
        <w:rPr>
          <w:sz w:val="28"/>
        </w:rPr>
      </w:pPr>
      <w:r>
        <w:rPr>
          <w:sz w:val="28"/>
        </w:rPr>
        <w:t>　　第十条  管理单位提供开放共享服务，可按照成本补偿和非盈利原则收取费用，开放服务收费标准由双方协商议定或者由仪器提供方将收费标准在仪器共享平台和收费地点向社会公示。行政事业单位相关收入按国有资产有偿使用收入有关规定执行。</w:t>
      </w:r>
    </w:p>
    <w:p>
      <w:pPr>
        <w:rPr>
          <w:sz w:val="28"/>
        </w:rPr>
      </w:pPr>
      <w:r>
        <w:rPr>
          <w:sz w:val="28"/>
        </w:rPr>
        <w:t>　　管理单位的共享服务收入，根据单位提供的发票、服务协议等材料进行统计。发票内容主要包括检测费、测试费、技术服务费等三类。</w:t>
      </w:r>
    </w:p>
    <w:p>
      <w:pPr>
        <w:rPr>
          <w:sz w:val="28"/>
        </w:rPr>
      </w:pPr>
      <w:r>
        <w:rPr>
          <w:sz w:val="28"/>
        </w:rPr>
        <w:t>　　第四章仪器共享服务绩效评价与补助</w:t>
      </w:r>
    </w:p>
    <w:p>
      <w:pPr>
        <w:rPr>
          <w:sz w:val="28"/>
        </w:rPr>
      </w:pPr>
      <w:r>
        <w:rPr>
          <w:sz w:val="28"/>
        </w:rPr>
        <w:t>　　第十一条  大仪办按照“公开、公平、公正”的原则，每年度在全省范围组织一次大型科研仪器开放共享服务绩效评价（以下简称“绩效评价”），评价结果向社会公示。</w:t>
      </w:r>
    </w:p>
    <w:p>
      <w:pPr>
        <w:rPr>
          <w:sz w:val="28"/>
        </w:rPr>
      </w:pPr>
      <w:r>
        <w:rPr>
          <w:sz w:val="28"/>
        </w:rPr>
        <w:t>　　第十二条  凡使用全额或部分省级财政资金购置的大型科研仪器的管理单位，原则上都应参加绩效评价。对绩效评价成绩为合格及以上的管理单位给予补助。鼓励以非财政资金购置的大型科研仪器管理单位参加绩效评价。</w:t>
      </w:r>
    </w:p>
    <w:p>
      <w:pPr>
        <w:rPr>
          <w:sz w:val="28"/>
        </w:rPr>
      </w:pPr>
      <w:r>
        <w:rPr>
          <w:sz w:val="28"/>
        </w:rPr>
        <w:t>　　第十三条  绩效评价主要内容：</w:t>
      </w:r>
    </w:p>
    <w:p>
      <w:pPr>
        <w:rPr>
          <w:sz w:val="28"/>
        </w:rPr>
      </w:pPr>
      <w:r>
        <w:rPr>
          <w:sz w:val="28"/>
        </w:rPr>
        <w:t>　　（一）从功能利用率、仪器使用率、对外开放共享程度、仪器完好程度以及仪器产生的经济效益等方面评价大型科研仪器开放共享情况。</w:t>
      </w:r>
    </w:p>
    <w:p>
      <w:pPr>
        <w:rPr>
          <w:sz w:val="28"/>
        </w:rPr>
      </w:pPr>
      <w:r>
        <w:rPr>
          <w:sz w:val="28"/>
        </w:rPr>
        <w:t>　　（二）从服务水平、人才培养、科研成果、管理水平以及条件保障等方面评价管理单位服务情况。</w:t>
      </w:r>
    </w:p>
    <w:p>
      <w:pPr>
        <w:rPr>
          <w:sz w:val="28"/>
        </w:rPr>
      </w:pPr>
      <w:r>
        <w:rPr>
          <w:sz w:val="28"/>
        </w:rPr>
        <w:t>　　第十四条  大型科研仪器开放共享服务绩效评价时间范围为上年4月1日到当年3月31日。</w:t>
      </w:r>
    </w:p>
    <w:p>
      <w:pPr>
        <w:rPr>
          <w:sz w:val="28"/>
        </w:rPr>
      </w:pPr>
      <w:r>
        <w:rPr>
          <w:sz w:val="28"/>
        </w:rPr>
        <w:t>　　（一）管理单位按照大仪办要求填报评价材料。</w:t>
      </w:r>
    </w:p>
    <w:p>
      <w:pPr>
        <w:rPr>
          <w:sz w:val="28"/>
        </w:rPr>
      </w:pPr>
      <w:r>
        <w:rPr>
          <w:sz w:val="28"/>
        </w:rPr>
        <w:t>　　（二）大仪办委托服务中心开展绩效评价工作。评价结果分为优秀、合格和不合格。优秀名额不超过参加评价的管理单位数量的15%。</w:t>
      </w:r>
    </w:p>
    <w:p>
      <w:pPr>
        <w:rPr>
          <w:sz w:val="28"/>
        </w:rPr>
      </w:pPr>
      <w:r>
        <w:rPr>
          <w:sz w:val="28"/>
        </w:rPr>
        <w:t>　　（三）大仪办选择10%的参评单位，组织专家进行现场抽查和用户满意度调查。现场抽查包括开放共享服务相关原始记录和大型科研仪器运行管理情况的核实等。</w:t>
      </w:r>
    </w:p>
    <w:p>
      <w:pPr>
        <w:rPr>
          <w:sz w:val="28"/>
        </w:rPr>
      </w:pPr>
      <w:r>
        <w:rPr>
          <w:sz w:val="28"/>
        </w:rPr>
        <w:t>　　（四）绩效评价结果经领导小组审核通过后向社会公示。</w:t>
      </w:r>
    </w:p>
    <w:p>
      <w:pPr>
        <w:rPr>
          <w:sz w:val="28"/>
        </w:rPr>
      </w:pPr>
      <w:r>
        <w:rPr>
          <w:sz w:val="28"/>
        </w:rPr>
        <w:t>　　第十五条  评价结果为优秀的管理单位，按该单位在绩效评价时间范围内的共享服务收入的15%给予补助，每家单位补助最高不超过25万元，评价结果为合格的管理单位，按该单位共享服务年度收入的10%给予补助，每家单位补助最高不超过15万元。大型科研仪器开放共享服务补助预算列入省科技厅部门预算。</w:t>
      </w:r>
    </w:p>
    <w:p>
      <w:pPr>
        <w:rPr>
          <w:sz w:val="28"/>
        </w:rPr>
      </w:pPr>
      <w:r>
        <w:rPr>
          <w:sz w:val="28"/>
        </w:rPr>
        <w:t>　　评价结果为优秀的管理单位申请购置大型科研仪器设施的，有关行政管理部门应当在同等条件下优先批准其申请。</w:t>
      </w:r>
    </w:p>
    <w:p>
      <w:pPr>
        <w:rPr>
          <w:sz w:val="28"/>
        </w:rPr>
      </w:pPr>
      <w:r>
        <w:rPr>
          <w:sz w:val="28"/>
        </w:rPr>
        <w:t>　　第十六条  管理单位获得的补助资金，主要用于运行维护、用户补贴及相关技术人员绩效奖励等。</w:t>
      </w:r>
    </w:p>
    <w:p>
      <w:pPr>
        <w:rPr>
          <w:sz w:val="28"/>
        </w:rPr>
      </w:pPr>
      <w:r>
        <w:rPr>
          <w:sz w:val="28"/>
        </w:rPr>
        <w:t>　　第十七条  管理单位对补助资金的开支行使管理和监督权，应做到手续完备、账目明晰、内容真实、核算准确，确保补助资金的合理使用。管理单位有弄虚作假、截留、挪用、挤占补助资金等违规违法行为的，由省财政厅、省科技厅依法追回补助资金，并采取相应处理措施。</w:t>
      </w:r>
    </w:p>
    <w:p>
      <w:pPr>
        <w:rPr>
          <w:sz w:val="28"/>
        </w:rPr>
      </w:pPr>
      <w:r>
        <w:rPr>
          <w:sz w:val="28"/>
        </w:rPr>
        <w:t>　　第十八条  未按照本办法规定参加大型科研仪器绩效评价，或评价结果为不合格的管理单位，当年不得申请用财政资金新购大型科研仪器，并由省财政厅、省科技厅责令限期整改。</w:t>
      </w:r>
    </w:p>
    <w:p>
      <w:pPr>
        <w:rPr>
          <w:sz w:val="28"/>
        </w:rPr>
      </w:pPr>
      <w:r>
        <w:rPr>
          <w:sz w:val="28"/>
        </w:rPr>
        <w:t>　　第五章  省级新购大型科研仪器联合评议</w:t>
      </w:r>
    </w:p>
    <w:p>
      <w:pPr>
        <w:rPr>
          <w:sz w:val="28"/>
        </w:rPr>
      </w:pPr>
      <w:r>
        <w:rPr>
          <w:sz w:val="28"/>
        </w:rPr>
        <w:t>　　第十九条  管理单位拟使用省级财政资金，新购单台套价值在200万元人民币以上的大型科研仪器，需向大仪办报送《云南省省级新购大型科研仪器联合评议申请报告》（以下简称“申请报告”）。申请报告包括购买的必要性、绩效目标（新购仪器的利用率、预计用户数量、对外开放时间等）、科研工作需求程度、开放共享工作措施及有关管理情况等内容。</w:t>
      </w:r>
    </w:p>
    <w:p>
      <w:pPr>
        <w:rPr>
          <w:sz w:val="28"/>
        </w:rPr>
      </w:pPr>
      <w:r>
        <w:rPr>
          <w:sz w:val="28"/>
        </w:rPr>
        <w:t>　　第二十条  省级新购大型科研仪器主要评议内容：</w:t>
      </w:r>
    </w:p>
    <w:p>
      <w:pPr>
        <w:rPr>
          <w:sz w:val="28"/>
        </w:rPr>
      </w:pPr>
      <w:r>
        <w:rPr>
          <w:sz w:val="28"/>
        </w:rPr>
        <w:t>　　（一）相关科学发展和科研需要购置仪器的必要性；</w:t>
      </w:r>
    </w:p>
    <w:p>
      <w:pPr>
        <w:rPr>
          <w:sz w:val="28"/>
        </w:rPr>
      </w:pPr>
      <w:r>
        <w:rPr>
          <w:sz w:val="28"/>
        </w:rPr>
        <w:t>　　（二）拟购仪器功能、指标的先进性、适用性；</w:t>
      </w:r>
    </w:p>
    <w:p>
      <w:pPr>
        <w:rPr>
          <w:sz w:val="28"/>
        </w:rPr>
      </w:pPr>
      <w:r>
        <w:rPr>
          <w:sz w:val="28"/>
        </w:rPr>
        <w:t>　　（三）省内现有同类仪器的资源状况（如分布、使用情况）；</w:t>
      </w:r>
    </w:p>
    <w:p>
      <w:pPr>
        <w:rPr>
          <w:sz w:val="28"/>
        </w:rPr>
      </w:pPr>
      <w:r>
        <w:rPr>
          <w:sz w:val="28"/>
        </w:rPr>
        <w:t>　　（四）管理单位现有大型科研仪器的使用情况；</w:t>
      </w:r>
    </w:p>
    <w:p>
      <w:pPr>
        <w:rPr>
          <w:sz w:val="28"/>
        </w:rPr>
      </w:pPr>
      <w:r>
        <w:rPr>
          <w:sz w:val="28"/>
        </w:rPr>
        <w:t>　　（五）新购仪器的技术队伍、场地等配套保障条件；</w:t>
      </w:r>
    </w:p>
    <w:p>
      <w:pPr>
        <w:rPr>
          <w:sz w:val="28"/>
        </w:rPr>
      </w:pPr>
      <w:r>
        <w:rPr>
          <w:sz w:val="28"/>
        </w:rPr>
        <w:t>　　（六）管理单位的开放共享方案；</w:t>
      </w:r>
    </w:p>
    <w:p>
      <w:pPr>
        <w:rPr>
          <w:sz w:val="28"/>
        </w:rPr>
      </w:pPr>
      <w:r>
        <w:rPr>
          <w:sz w:val="28"/>
        </w:rPr>
        <w:t>　　（七）购置经费预算的合理性。</w:t>
      </w:r>
    </w:p>
    <w:p>
      <w:pPr>
        <w:rPr>
          <w:sz w:val="28"/>
        </w:rPr>
      </w:pPr>
      <w:r>
        <w:rPr>
          <w:sz w:val="28"/>
        </w:rPr>
        <w:t>　　第二十一条　大仪办对管理单位报送的申请报告进行形式审查，审查通过后委托中介机构组织相关专家对申请报告进行联合评议，并按照《省级新购大型科研仪器联合评议评分表》打分。</w:t>
      </w:r>
    </w:p>
    <w:p>
      <w:pPr>
        <w:rPr>
          <w:sz w:val="28"/>
        </w:rPr>
      </w:pPr>
      <w:r>
        <w:rPr>
          <w:sz w:val="28"/>
        </w:rPr>
        <w:t>　　第二十二条　联合评议得分在70分（含“70分”）以上的，评价结果为“同意购置”；得分在70分以下的，评价结果为“暂缓购置”，评议结果向社会公示。评议结果是有关部门对相关预算或科研项目申请进行审批的重要参考。</w:t>
      </w:r>
    </w:p>
    <w:p>
      <w:pPr>
        <w:rPr>
          <w:sz w:val="28"/>
        </w:rPr>
      </w:pPr>
      <w:r>
        <w:rPr>
          <w:sz w:val="28"/>
        </w:rPr>
        <w:t>　　评议结果为暂缓购置的，如科研确有需要，经费（项目）审批部门可视具体情况在预算中安排专项经费，用于项目实施过程中申请单位使用其他单位大型科研仪器的费用支出。</w:t>
      </w:r>
    </w:p>
    <w:p>
      <w:pPr>
        <w:rPr>
          <w:sz w:val="28"/>
        </w:rPr>
      </w:pPr>
      <w:r>
        <w:rPr>
          <w:sz w:val="28"/>
        </w:rPr>
        <w:t>　　第二十三条  管理单位未按要求参加联合评议的，经费（项目）审批部门一律不得同意相关预算或项目申请。</w:t>
      </w:r>
    </w:p>
    <w:p>
      <w:pPr>
        <w:rPr>
          <w:sz w:val="28"/>
        </w:rPr>
      </w:pPr>
      <w:r>
        <w:rPr>
          <w:sz w:val="28"/>
        </w:rPr>
        <w:t>　　第六章附则</w:t>
      </w:r>
    </w:p>
    <w:p>
      <w:pPr>
        <w:rPr>
          <w:sz w:val="28"/>
        </w:rPr>
      </w:pPr>
      <w:r>
        <w:rPr>
          <w:sz w:val="28"/>
        </w:rPr>
        <w:t>　　第二十四条  本办法由省科技厅会同省财政厅、省教育厅等相关部门负责解释。</w:t>
      </w:r>
    </w:p>
    <w:p>
      <w:pPr>
        <w:rPr>
          <w:sz w:val="28"/>
        </w:rPr>
      </w:pPr>
      <w:r>
        <w:rPr>
          <w:sz w:val="28"/>
        </w:rPr>
        <w:t>　　第二十五条  本办法自2017年11月9日起施行，有效期至2020年11月9日。</w:t>
      </w:r>
    </w:p>
    <w:p>
      <w:pPr>
        <w:rPr>
          <w:sz w:val="28"/>
        </w:rPr>
      </w:pPr>
      <w:r>
        <w:rPr>
          <w:sz w:val="28"/>
        </w:rPr>
        <w:t>　　附件：1．管理单位开放共享服务绩效评价指标表</w:t>
      </w:r>
    </w:p>
    <w:p>
      <w:pPr>
        <w:ind w:firstLine="554"/>
        <w:rPr>
          <w:sz w:val="28"/>
        </w:rPr>
      </w:pPr>
      <w:r>
        <w:rPr>
          <w:sz w:val="28"/>
        </w:rPr>
        <w:t>2．省级新购大型科研仪器联合评议评分表</w:t>
      </w:r>
    </w:p>
    <w:p>
      <w:pPr>
        <w:ind w:firstLine="554"/>
        <w:rPr>
          <w:sz w:val="28"/>
        </w:rPr>
      </w:pPr>
    </w:p>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000000"/>
          <w:sz w:val="24"/>
          <w:szCs w:val="24"/>
          <w:u w:val="none"/>
        </w:rPr>
      </w:pPr>
      <w:r>
        <w:rPr>
          <w:rFonts w:ascii="宋体" w:eastAsia="宋体" w:hint="eastAsia"/>
          <w:strike w:val="0"/>
          <w:dstrike w:val="0"/>
          <w:vanish w:val="0"/>
          <w:color w:val="000000"/>
          <w:sz w:val="24"/>
          <w:szCs w:val="24"/>
          <w:u w:val="none"/>
        </w:rPr>
        <w:t>附件1</w:t>
      </w:r>
    </w:p>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jc w:val="center"/>
        <w:rPr>
          <w:rFonts w:ascii="宋体" w:eastAsia="宋体" w:hint="eastAsia"/>
          <w:strike w:val="0"/>
          <w:dstrike w:val="0"/>
          <w:vanish w:val="0"/>
          <w:color w:val="000000"/>
          <w:sz w:val="24"/>
          <w:szCs w:val="24"/>
          <w:u w:val="none"/>
        </w:rPr>
      </w:pPr>
      <w:r>
        <w:rPr>
          <w:rFonts w:ascii="宋体" w:eastAsia="宋体" w:hint="eastAsia"/>
          <w:strike w:val="0"/>
          <w:dstrike w:val="0"/>
          <w:vanish w:val="0"/>
          <w:color w:val="000000"/>
          <w:sz w:val="24"/>
          <w:szCs w:val="24"/>
          <w:u w:val="none"/>
        </w:rPr>
        <w:t>管理单位开放共享服务绩效评价指标表</w:t>
      </w:r>
    </w:p>
    <w:tbl>
      <w:tblPr>
        <w:jc w:val="center"/>
        <w:tblW w:w="9045"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0" w:type="dxa"/>
          <w:left w:w="108" w:type="dxa"/>
          <w:bottom w:w="0" w:type="dxa"/>
          <w:right w:w="108" w:type="dxa"/>
        </w:tblCellMar>
      </w:tblPr>
      <w:tblGrid>
        <w:gridCol w:w="1674"/>
        <w:gridCol w:w="2415"/>
        <w:gridCol w:w="2625"/>
        <w:gridCol w:w="1417"/>
        <w:gridCol w:w="910"/>
      </w:tblGrid>
      <w:tr>
        <w:trPr>
          <w:trHeight w:val="403"/>
        </w:trPr>
        <w:tc>
          <w:tcPr>
            <w:tcW w:w="167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一级指标</w:t>
            </w: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二级指标</w:t>
            </w:r>
          </w:p>
        </w:tc>
        <w:tc>
          <w:tcPr>
            <w:tcW w:w="26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评价标准</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评分标准</w:t>
            </w:r>
          </w:p>
        </w:tc>
        <w:tc>
          <w:tcPr>
            <w:tcW w:w="9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分值</w:t>
            </w:r>
          </w:p>
        </w:tc>
      </w:tr>
      <w:tr>
        <w:trPr>
          <w:trHeight w:val="432"/>
        </w:trPr>
        <w:tc>
          <w:tcPr>
            <w:tcW w:w="167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仪器入网及运行情况（45分）</w:t>
            </w:r>
          </w:p>
        </w:tc>
        <w:tc>
          <w:tcPr>
            <w:tcW w:w="241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仪器管理（10分）</w:t>
            </w:r>
          </w:p>
        </w:tc>
        <w:tc>
          <w:tcPr>
            <w:tcW w:w="26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仪器管理和共享制度完善</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firstLine="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4</w:t>
            </w:r>
          </w:p>
        </w:tc>
        <w:tc>
          <w:tcPr>
            <w:tcW w:w="91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spacing w:before="0" w:beforeAutospacing="0" w:after="0" w:afterAutospacing="0" w:line="329" w:lineRule="atLeast"/>
              <w:ind w:left="0" w:right="0"/>
              <w:rPr>
                <w:rFonts w:ascii="宋体" w:eastAsia="宋体" w:hint="eastAsia"/>
                <w:strike w:val="0"/>
                <w:dstrike w:val="0"/>
                <w:vanish w:val="0"/>
                <w:color w:val="666666"/>
                <w:sz w:val="21"/>
                <w:szCs w:val="21"/>
                <w:u w:val="none"/>
              </w:rPr>
            </w:pPr>
          </w:p>
        </w:tc>
      </w:tr>
      <w:tr>
        <w:trPr>
          <w:trHeight w:val="423"/>
        </w:trPr>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6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有上级领导分管</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firstLine="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2</w:t>
            </w:r>
          </w:p>
        </w:tc>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r>
      <w:tr>
        <w:trPr>
          <w:trHeight w:val="403"/>
        </w:trPr>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6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仪器有专人负责</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firstLine="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4</w:t>
            </w:r>
          </w:p>
        </w:tc>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r>
      <w:tr>
        <w:trPr>
          <w:trHeight w:val="952"/>
        </w:trPr>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入网仪器数量占比（仪器原值20万元以上含20万元，15分）</w:t>
            </w:r>
          </w:p>
        </w:tc>
        <w:tc>
          <w:tcPr>
            <w:tcW w:w="26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（入网仪器/仪器总数）╳15</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firstLine="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15</w:t>
            </w:r>
          </w:p>
        </w:tc>
        <w:tc>
          <w:tcPr>
            <w:tcW w:w="9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spacing w:before="0" w:beforeAutospacing="0" w:after="0" w:afterAutospacing="0" w:line="329" w:lineRule="atLeast"/>
              <w:ind w:left="0" w:right="0"/>
              <w:rPr>
                <w:rFonts w:ascii="宋体" w:eastAsia="宋体" w:hint="eastAsia"/>
                <w:strike w:val="0"/>
                <w:dstrike w:val="0"/>
                <w:vanish w:val="0"/>
                <w:color w:val="666666"/>
                <w:sz w:val="21"/>
                <w:szCs w:val="21"/>
                <w:u w:val="none"/>
              </w:rPr>
            </w:pPr>
          </w:p>
        </w:tc>
      </w:tr>
      <w:tr>
        <w:trPr>
          <w:trHeight w:val="468"/>
        </w:trPr>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41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入网仪器原值（5分）</w:t>
            </w:r>
          </w:p>
        </w:tc>
        <w:tc>
          <w:tcPr>
            <w:tcW w:w="26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≥2000万元</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5</w:t>
            </w:r>
          </w:p>
        </w:tc>
        <w:tc>
          <w:tcPr>
            <w:tcW w:w="91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spacing w:before="0" w:beforeAutospacing="0" w:after="0" w:afterAutospacing="0" w:line="329" w:lineRule="atLeast"/>
              <w:ind w:left="0" w:right="0"/>
              <w:rPr>
                <w:rFonts w:ascii="宋体" w:eastAsia="宋体" w:hint="eastAsia"/>
                <w:strike w:val="0"/>
                <w:dstrike w:val="0"/>
                <w:vanish w:val="0"/>
                <w:color w:val="666666"/>
                <w:sz w:val="21"/>
                <w:szCs w:val="21"/>
                <w:u w:val="none"/>
              </w:rPr>
            </w:pPr>
          </w:p>
        </w:tc>
      </w:tr>
      <w:tr>
        <w:trPr>
          <w:trHeight w:val="419"/>
        </w:trPr>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6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&lt;2000万元</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1～4</w:t>
            </w:r>
          </w:p>
        </w:tc>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r>
      <w:tr>
        <w:trPr>
          <w:trHeight w:val="477"/>
        </w:trPr>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41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333333"/>
                <w:sz w:val="24"/>
                <w:szCs w:val="24"/>
                <w:u w:val="none"/>
              </w:rPr>
            </w:pPr>
            <w:r>
              <w:rPr>
                <w:rFonts w:ascii="宋体" w:eastAsia="宋体" w:hint="eastAsia"/>
                <w:strike w:val="0"/>
                <w:dstrike w:val="0"/>
                <w:vanish w:val="0"/>
                <w:color w:val="333333"/>
                <w:sz w:val="24"/>
                <w:szCs w:val="24"/>
                <w:u w:val="none"/>
              </w:rPr>
              <w:t>平均使用机时</w:t>
            </w:r>
          </w:p>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333333"/>
                <w:sz w:val="24"/>
                <w:szCs w:val="24"/>
                <w:u w:val="none"/>
              </w:rPr>
              <w:t>（总开机时/总入网仪器数，15分）</w:t>
            </w:r>
          </w:p>
        </w:tc>
        <w:tc>
          <w:tcPr>
            <w:tcW w:w="26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≥1000小时</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17～20</w:t>
            </w:r>
          </w:p>
        </w:tc>
        <w:tc>
          <w:tcPr>
            <w:tcW w:w="91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spacing w:before="0" w:beforeAutospacing="0" w:after="0" w:afterAutospacing="0" w:line="329" w:lineRule="atLeast"/>
              <w:ind w:left="0" w:right="0"/>
              <w:rPr>
                <w:rFonts w:ascii="宋体" w:eastAsia="宋体" w:hint="eastAsia"/>
                <w:strike w:val="0"/>
                <w:dstrike w:val="0"/>
                <w:vanish w:val="0"/>
                <w:color w:val="666666"/>
                <w:sz w:val="21"/>
                <w:szCs w:val="21"/>
                <w:u w:val="none"/>
              </w:rPr>
            </w:pPr>
          </w:p>
        </w:tc>
      </w:tr>
      <w:tr>
        <w:trPr>
          <w:trHeight w:val="424"/>
        </w:trPr>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6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100~1000小时</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6～16</w:t>
            </w:r>
          </w:p>
        </w:tc>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r>
      <w:tr>
        <w:trPr>
          <w:trHeight w:val="387"/>
        </w:trPr>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6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&lt;100小时</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1～5</w:t>
            </w:r>
          </w:p>
        </w:tc>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r>
      <w:tr>
        <w:trPr>
          <w:trHeight w:val="490"/>
        </w:trPr>
        <w:tc>
          <w:tcPr>
            <w:tcW w:w="167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开放共享服务情况（35分）</w:t>
            </w:r>
          </w:p>
        </w:tc>
        <w:tc>
          <w:tcPr>
            <w:tcW w:w="241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对外服务单位数（15分）</w:t>
            </w:r>
          </w:p>
        </w:tc>
        <w:tc>
          <w:tcPr>
            <w:tcW w:w="26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&gt;50家</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13～15</w:t>
            </w:r>
          </w:p>
        </w:tc>
        <w:tc>
          <w:tcPr>
            <w:tcW w:w="91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spacing w:before="0" w:beforeAutospacing="0" w:after="0" w:afterAutospacing="0" w:line="329" w:lineRule="atLeast"/>
              <w:ind w:left="0" w:right="0"/>
              <w:rPr>
                <w:rFonts w:ascii="宋体" w:eastAsia="宋体" w:hint="eastAsia"/>
                <w:strike w:val="0"/>
                <w:dstrike w:val="0"/>
                <w:vanish w:val="0"/>
                <w:color w:val="666666"/>
                <w:sz w:val="21"/>
                <w:szCs w:val="21"/>
                <w:u w:val="none"/>
              </w:rPr>
            </w:pPr>
          </w:p>
        </w:tc>
      </w:tr>
      <w:tr>
        <w:trPr>
          <w:trHeight w:val="439"/>
        </w:trPr>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6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20~50家</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7～12</w:t>
            </w:r>
          </w:p>
        </w:tc>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r>
      <w:tr>
        <w:trPr>
          <w:trHeight w:val="386"/>
        </w:trPr>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6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&lt;20家</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1～6</w:t>
            </w:r>
          </w:p>
        </w:tc>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r>
      <w:tr>
        <w:trPr>
          <w:trHeight w:val="504"/>
        </w:trPr>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41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对外服务总收费（10分）</w:t>
            </w:r>
          </w:p>
        </w:tc>
        <w:tc>
          <w:tcPr>
            <w:tcW w:w="26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&gt;100万元/年</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12～15</w:t>
            </w:r>
          </w:p>
        </w:tc>
        <w:tc>
          <w:tcPr>
            <w:tcW w:w="91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spacing w:before="0" w:beforeAutospacing="0" w:after="0" w:afterAutospacing="0" w:line="329" w:lineRule="atLeast"/>
              <w:ind w:left="0" w:right="0"/>
              <w:rPr>
                <w:rFonts w:ascii="宋体" w:eastAsia="宋体" w:hint="eastAsia"/>
                <w:strike w:val="0"/>
                <w:dstrike w:val="0"/>
                <w:vanish w:val="0"/>
                <w:color w:val="666666"/>
                <w:sz w:val="21"/>
                <w:szCs w:val="21"/>
                <w:u w:val="none"/>
              </w:rPr>
            </w:pPr>
          </w:p>
        </w:tc>
      </w:tr>
      <w:tr>
        <w:trPr>
          <w:trHeight w:val="411"/>
        </w:trPr>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6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50~100万元/年</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8～11</w:t>
            </w:r>
          </w:p>
        </w:tc>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r>
      <w:tr>
        <w:trPr>
          <w:trHeight w:val="514"/>
        </w:trPr>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6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&lt;50万元/年</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3～7</w:t>
            </w:r>
          </w:p>
        </w:tc>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r>
      <w:tr>
        <w:trPr>
          <w:trHeight w:val="459"/>
        </w:trPr>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41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服务优惠总费用（10分）</w:t>
            </w:r>
          </w:p>
        </w:tc>
        <w:tc>
          <w:tcPr>
            <w:tcW w:w="26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优惠金额&gt;50万元/年</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8～10</w:t>
            </w:r>
          </w:p>
        </w:tc>
        <w:tc>
          <w:tcPr>
            <w:tcW w:w="91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spacing w:before="0" w:beforeAutospacing="0" w:after="0" w:afterAutospacing="0" w:line="329" w:lineRule="atLeast"/>
              <w:ind w:left="0" w:right="0"/>
              <w:rPr>
                <w:rFonts w:ascii="宋体" w:eastAsia="宋体" w:hint="eastAsia"/>
                <w:strike w:val="0"/>
                <w:dstrike w:val="0"/>
                <w:vanish w:val="0"/>
                <w:color w:val="666666"/>
                <w:sz w:val="21"/>
                <w:szCs w:val="21"/>
                <w:u w:val="none"/>
              </w:rPr>
            </w:pPr>
          </w:p>
        </w:tc>
      </w:tr>
      <w:tr>
        <w:trPr>
          <w:trHeight w:val="409"/>
        </w:trPr>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6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优惠金额20~50万元/年</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5～7</w:t>
            </w:r>
          </w:p>
        </w:tc>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r>
      <w:tr>
        <w:trPr>
          <w:trHeight w:val="622"/>
        </w:trPr>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6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优惠金额&lt;20万元/年</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1～4</w:t>
            </w:r>
          </w:p>
        </w:tc>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r>
      <w:tr>
        <w:trPr>
          <w:trHeight w:val="440"/>
        </w:trPr>
        <w:tc>
          <w:tcPr>
            <w:tcW w:w="167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科研支撑情况</w:t>
            </w:r>
          </w:p>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（20分）</w:t>
            </w:r>
          </w:p>
        </w:tc>
        <w:tc>
          <w:tcPr>
            <w:tcW w:w="241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支撑项目数量（10分）</w:t>
            </w:r>
          </w:p>
        </w:tc>
        <w:tc>
          <w:tcPr>
            <w:tcW w:w="26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&gt;10项</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7～10</w:t>
            </w:r>
          </w:p>
        </w:tc>
        <w:tc>
          <w:tcPr>
            <w:tcW w:w="9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spacing w:before="0" w:beforeAutospacing="0" w:after="0" w:afterAutospacing="0" w:line="329" w:lineRule="atLeast"/>
              <w:ind w:left="0" w:right="0"/>
              <w:rPr>
                <w:rFonts w:ascii="宋体" w:eastAsia="宋体" w:hint="eastAsia"/>
                <w:strike w:val="0"/>
                <w:dstrike w:val="0"/>
                <w:vanish w:val="0"/>
                <w:color w:val="666666"/>
                <w:sz w:val="21"/>
                <w:szCs w:val="21"/>
                <w:u w:val="none"/>
              </w:rPr>
            </w:pPr>
          </w:p>
        </w:tc>
      </w:tr>
      <w:tr>
        <w:trPr>
          <w:trHeight w:val="440"/>
        </w:trPr>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6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1~10项</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1～6</w:t>
            </w:r>
          </w:p>
        </w:tc>
        <w:tc>
          <w:tcPr>
            <w:tcW w:w="9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spacing w:before="0" w:beforeAutospacing="0" w:after="0" w:afterAutospacing="0" w:line="329" w:lineRule="atLeast"/>
              <w:ind w:left="0" w:right="0"/>
              <w:rPr>
                <w:rFonts w:ascii="宋体" w:eastAsia="宋体" w:hint="eastAsia"/>
                <w:strike w:val="0"/>
                <w:dstrike w:val="0"/>
                <w:vanish w:val="0"/>
                <w:color w:val="666666"/>
                <w:sz w:val="21"/>
                <w:szCs w:val="21"/>
                <w:u w:val="none"/>
              </w:rPr>
            </w:pPr>
          </w:p>
        </w:tc>
      </w:tr>
      <w:tr>
        <w:trPr>
          <w:trHeight w:val="440"/>
        </w:trPr>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41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支撑项目产出成果数量（10分）</w:t>
            </w:r>
          </w:p>
        </w:tc>
        <w:tc>
          <w:tcPr>
            <w:tcW w:w="26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产出成果（专利、新产品等）&gt;20项</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7～10</w:t>
            </w:r>
          </w:p>
        </w:tc>
        <w:tc>
          <w:tcPr>
            <w:tcW w:w="9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spacing w:before="0" w:beforeAutospacing="0" w:after="0" w:afterAutospacing="0" w:line="329" w:lineRule="atLeast"/>
              <w:ind w:left="0" w:right="0"/>
              <w:rPr>
                <w:rFonts w:ascii="宋体" w:eastAsia="宋体" w:hint="eastAsia"/>
                <w:strike w:val="0"/>
                <w:dstrike w:val="0"/>
                <w:vanish w:val="0"/>
                <w:color w:val="666666"/>
                <w:sz w:val="21"/>
                <w:szCs w:val="21"/>
                <w:u w:val="none"/>
              </w:rPr>
            </w:pPr>
          </w:p>
        </w:tc>
      </w:tr>
      <w:tr>
        <w:trPr>
          <w:trHeight w:val="440"/>
        </w:trPr>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6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产出成果（专利、新产品等）1~20项</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1～6</w:t>
            </w:r>
          </w:p>
        </w:tc>
        <w:tc>
          <w:tcPr>
            <w:tcW w:w="9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spacing w:before="0" w:beforeAutospacing="0" w:after="0" w:afterAutospacing="0" w:line="329" w:lineRule="atLeast"/>
              <w:ind w:left="0" w:right="0"/>
              <w:rPr>
                <w:rFonts w:ascii="宋体" w:eastAsia="宋体" w:hint="eastAsia"/>
                <w:strike w:val="0"/>
                <w:dstrike w:val="0"/>
                <w:vanish w:val="0"/>
                <w:color w:val="666666"/>
                <w:sz w:val="21"/>
                <w:szCs w:val="21"/>
                <w:u w:val="none"/>
              </w:rPr>
            </w:pPr>
          </w:p>
        </w:tc>
      </w:tr>
      <w:tr>
        <w:trPr>
          <w:trHeight w:val="415"/>
        </w:trPr>
        <w:tc>
          <w:tcPr>
            <w:tcW w:w="8131"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合计</w:t>
            </w:r>
            <w:r>
              <w:rPr>
                <w:rFonts w:ascii="宋体" w:eastAsia="宋体" w:hint="eastAsia"/>
                <w:b/>
                <w:bCs w:val="0"/>
                <w:strike w:val="0"/>
                <w:dstrike w:val="0"/>
                <w:vanish w:val="0"/>
                <w:color w:val="666666"/>
                <w:sz w:val="24"/>
                <w:szCs w:val="24"/>
                <w:u w:val="none"/>
              </w:rPr>
              <w:t>（满分：100分）</w:t>
            </w:r>
          </w:p>
        </w:tc>
        <w:tc>
          <w:tcPr>
            <w:tcW w:w="9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spacing w:before="0" w:beforeAutospacing="0" w:after="0" w:afterAutospacing="0" w:line="329" w:lineRule="atLeast"/>
              <w:ind w:left="0" w:right="0"/>
              <w:rPr>
                <w:rFonts w:ascii="宋体" w:eastAsia="宋体" w:hint="eastAsia"/>
                <w:strike w:val="0"/>
                <w:dstrike w:val="0"/>
                <w:vanish w:val="0"/>
                <w:color w:val="666666"/>
                <w:sz w:val="21"/>
                <w:szCs w:val="21"/>
                <w:u w:val="none"/>
              </w:rPr>
            </w:pPr>
          </w:p>
        </w:tc>
      </w:tr>
    </w:tbl>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rPr>
          <w:rFonts w:ascii="宋体" w:eastAsia="宋体" w:hint="eastAsia"/>
          <w:strike w:val="0"/>
          <w:dstrike w:val="0"/>
          <w:vanish w:val="0"/>
          <w:color w:val="000000"/>
          <w:sz w:val="24"/>
          <w:szCs w:val="24"/>
          <w:u w:val="none"/>
        </w:rPr>
      </w:pPr>
      <w:r>
        <w:rPr>
          <w:rFonts w:ascii="宋体" w:eastAsia="宋体" w:cs="Times New Roman" w:hint="eastAsia"/>
          <w:strike w:val="0"/>
          <w:dstrike w:val="0"/>
          <w:vanish w:val="0"/>
          <w:color w:val="000000"/>
          <w:kern w:val="2"/>
          <w:sz w:val="24"/>
          <w:szCs w:val="24"/>
          <w:u w:val="none"/>
          <w:lang w:val="en-US" w:eastAsia="zh-CN"/>
        </w:rPr>
        <w:br w:type="page"/>
      </w:r>
      <w:r>
        <w:rPr>
          <w:rFonts w:ascii="宋体" w:eastAsia="宋体" w:hint="eastAsia"/>
          <w:strike w:val="0"/>
          <w:dstrike w:val="0"/>
          <w:vanish w:val="0"/>
          <w:color w:val="000000"/>
          <w:sz w:val="24"/>
          <w:szCs w:val="24"/>
          <w:u w:val="none"/>
        </w:rPr>
        <w:t>附件2</w:t>
      </w:r>
    </w:p>
    <w:p>
      <w:pPr>
        <w:pBdr>
          <w:top w:val="none" w:sz="0" w:space="0" w:color="auto"/>
          <w:left w:val="none" w:sz="0" w:space="0" w:color="auto"/>
          <w:bottom w:val="none" w:sz="0" w:space="0" w:color="auto"/>
          <w:right w:val="none" w:sz="0" w:space="0" w:color="auto"/>
        </w:pBdr>
        <w:spacing w:beforeLines="50" w:before="156" w:beforeAutospacing="0" w:afterLines="50" w:after="156" w:afterAutospacing="0" w:line="360" w:lineRule="auto"/>
        <w:ind w:left="0" w:right="0"/>
        <w:jc w:val="center"/>
        <w:rPr>
          <w:rFonts w:ascii="宋体" w:eastAsia="宋体" w:hint="eastAsia"/>
          <w:strike w:val="0"/>
          <w:dstrike w:val="0"/>
          <w:vanish w:val="0"/>
          <w:color w:val="000000"/>
          <w:sz w:val="24"/>
          <w:szCs w:val="24"/>
          <w:u w:val="none"/>
        </w:rPr>
      </w:pPr>
      <w:r>
        <w:rPr>
          <w:rFonts w:ascii="宋体" w:eastAsia="宋体" w:hint="eastAsia"/>
          <w:strike w:val="0"/>
          <w:dstrike w:val="0"/>
          <w:vanish w:val="0"/>
          <w:color w:val="000000"/>
          <w:sz w:val="24"/>
          <w:szCs w:val="24"/>
          <w:u w:val="none"/>
        </w:rPr>
        <w:t>省级新购大型科研仪器联合评议评分表</w:t>
      </w:r>
    </w:p>
    <w:tbl>
      <w:tblPr>
        <w:jc w:val="center"/>
        <w:tblW w:w="8897"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0" w:type="dxa"/>
          <w:left w:w="108" w:type="dxa"/>
          <w:bottom w:w="0" w:type="dxa"/>
          <w:right w:w="108" w:type="dxa"/>
        </w:tblCellMar>
      </w:tblPr>
      <w:tblGrid>
        <w:gridCol w:w="1526"/>
        <w:gridCol w:w="2176"/>
        <w:gridCol w:w="3494"/>
        <w:gridCol w:w="850"/>
        <w:gridCol w:w="851"/>
      </w:tblGrid>
      <w:tr>
        <w:trPr>
          <w:tblHeader/>
        </w:trPr>
        <w:tc>
          <w:tcPr>
            <w:tcW w:w="15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评议项目</w:t>
            </w:r>
          </w:p>
        </w:tc>
        <w:tc>
          <w:tcPr>
            <w:tcW w:w="21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评议内容</w:t>
            </w:r>
          </w:p>
        </w:tc>
        <w:tc>
          <w:tcPr>
            <w:tcW w:w="34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jc w:val="center"/>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评分标准</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jc w:val="center"/>
              <w:rPr>
                <w:rFonts w:ascii="宋体" w:eastAsia="宋体" w:hint="eastAsia"/>
                <w:strike w:val="0"/>
                <w:dstrike w:val="0"/>
                <w:vanish w:val="0"/>
                <w:color w:val="666666"/>
                <w:spacing w:val="-20"/>
                <w:sz w:val="24"/>
                <w:szCs w:val="24"/>
                <w:u w:val="none"/>
              </w:rPr>
            </w:pPr>
            <w:r>
              <w:rPr>
                <w:rFonts w:ascii="宋体" w:eastAsia="宋体" w:hint="eastAsia"/>
                <w:strike w:val="0"/>
                <w:dstrike w:val="0"/>
                <w:vanish w:val="0"/>
                <w:color w:val="666666"/>
                <w:spacing w:val="-20"/>
                <w:sz w:val="24"/>
                <w:szCs w:val="24"/>
                <w:u w:val="none"/>
              </w:rPr>
              <w:t>专家评分</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jc w:val="center"/>
              <w:rPr>
                <w:rFonts w:ascii="宋体" w:eastAsia="宋体" w:hint="eastAsia"/>
                <w:strike w:val="0"/>
                <w:dstrike w:val="0"/>
                <w:vanish w:val="0"/>
                <w:color w:val="666666"/>
                <w:spacing w:val="-20"/>
                <w:sz w:val="24"/>
                <w:szCs w:val="24"/>
                <w:u w:val="none"/>
              </w:rPr>
            </w:pPr>
            <w:r>
              <w:rPr>
                <w:rFonts w:ascii="宋体" w:eastAsia="宋体" w:hint="eastAsia"/>
                <w:strike w:val="0"/>
                <w:dstrike w:val="0"/>
                <w:vanish w:val="0"/>
                <w:color w:val="666666"/>
                <w:spacing w:val="-20"/>
                <w:sz w:val="24"/>
                <w:szCs w:val="24"/>
                <w:u w:val="none"/>
              </w:rPr>
              <w:t>得分小计</w:t>
            </w:r>
          </w:p>
        </w:tc>
      </w:tr>
      <w:tr>
        <w:trPr>
          <w:trHeight w:val="1184"/>
        </w:trPr>
        <w:tc>
          <w:tcPr>
            <w:tcW w:w="1526"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1．购买的必要性（50）</w:t>
            </w:r>
          </w:p>
        </w:tc>
        <w:tc>
          <w:tcPr>
            <w:tcW w:w="21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本单位是否已有同类仪器，现有同类仪器利用率（10）</w:t>
            </w:r>
          </w:p>
        </w:tc>
        <w:tc>
          <w:tcPr>
            <w:tcW w:w="34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无（10）</w:t>
            </w:r>
          </w:p>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有：利用率高（9）</w:t>
            </w:r>
          </w:p>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利用率一般（6）</w:t>
            </w:r>
          </w:p>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利用率低（3）</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spacing w:line="329" w:lineRule="atLeast"/>
              <w:ind w:left="0"/>
              <w:rPr>
                <w:rFonts w:ascii="宋体" w:eastAsia="宋体" w:hint="eastAsia"/>
                <w:strike w:val="0"/>
                <w:dstrike w:val="0"/>
                <w:vanish w:val="0"/>
                <w:color w:val="666666"/>
                <w:sz w:val="21"/>
                <w:szCs w:val="21"/>
                <w:u w:val="none"/>
              </w:rPr>
            </w:pPr>
          </w:p>
        </w:tc>
        <w:tc>
          <w:tcPr>
            <w:tcW w:w="851"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spacing w:line="329" w:lineRule="atLeast"/>
              <w:ind w:left="0"/>
              <w:rPr>
                <w:rFonts w:ascii="宋体" w:eastAsia="宋体" w:hint="eastAsia"/>
                <w:strike w:val="0"/>
                <w:dstrike w:val="0"/>
                <w:vanish w:val="0"/>
                <w:color w:val="666666"/>
                <w:sz w:val="21"/>
                <w:szCs w:val="21"/>
                <w:u w:val="none"/>
              </w:rPr>
            </w:pPr>
          </w:p>
        </w:tc>
      </w:tr>
      <w:tr>
        <w:trPr>
          <w:trHeight w:val="1298"/>
        </w:trPr>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1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单位所在地区同类仪器设施情况（10）</w:t>
            </w:r>
          </w:p>
        </w:tc>
        <w:tc>
          <w:tcPr>
            <w:tcW w:w="34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无（10）</w:t>
            </w:r>
          </w:p>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有：利用率高（9）</w:t>
            </w:r>
          </w:p>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利用率一般（6）</w:t>
            </w:r>
          </w:p>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利用率低（3）</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spacing w:line="329" w:lineRule="atLeast"/>
              <w:ind w:left="0"/>
              <w:rPr>
                <w:rFonts w:ascii="宋体" w:eastAsia="宋体" w:hint="eastAsia"/>
                <w:strike w:val="0"/>
                <w:dstrike w:val="0"/>
                <w:vanish w:val="0"/>
                <w:color w:val="666666"/>
                <w:sz w:val="21"/>
                <w:szCs w:val="21"/>
                <w:u w:val="none"/>
              </w:rPr>
            </w:pPr>
          </w:p>
        </w:tc>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r>
      <w:tr>
        <w:trPr>
          <w:trHeight w:val="1022"/>
        </w:trPr>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1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单位学科发展、科学研究、技术创新和分析测试的必要性（10）</w:t>
            </w:r>
          </w:p>
        </w:tc>
        <w:tc>
          <w:tcPr>
            <w:tcW w:w="34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必须（10）</w:t>
            </w:r>
          </w:p>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一般（5）</w:t>
            </w:r>
          </w:p>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非必须（0）</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spacing w:line="329" w:lineRule="atLeast"/>
              <w:ind w:left="0"/>
              <w:rPr>
                <w:rFonts w:ascii="宋体" w:eastAsia="宋体" w:hint="eastAsia"/>
                <w:strike w:val="0"/>
                <w:dstrike w:val="0"/>
                <w:vanish w:val="0"/>
                <w:color w:val="666666"/>
                <w:sz w:val="21"/>
                <w:szCs w:val="21"/>
                <w:u w:val="none"/>
              </w:rPr>
            </w:pPr>
          </w:p>
        </w:tc>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r>
      <w:tr>
        <w:trPr>
          <w:trHeight w:val="1135"/>
        </w:trPr>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1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预计购买后利用率及使用效益（10）</w:t>
            </w:r>
          </w:p>
        </w:tc>
        <w:tc>
          <w:tcPr>
            <w:tcW w:w="34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利用率及使用效益高（10）</w:t>
            </w:r>
          </w:p>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利用率及使用效益一般（6）</w:t>
            </w:r>
          </w:p>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利用率及使用效益低（2）</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spacing w:line="329" w:lineRule="atLeast"/>
              <w:ind w:left="0"/>
              <w:rPr>
                <w:rFonts w:ascii="宋体" w:eastAsia="宋体" w:hint="eastAsia"/>
                <w:strike w:val="0"/>
                <w:dstrike w:val="0"/>
                <w:vanish w:val="0"/>
                <w:color w:val="666666"/>
                <w:sz w:val="21"/>
                <w:szCs w:val="21"/>
                <w:u w:val="none"/>
              </w:rPr>
            </w:pP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spacing w:line="329" w:lineRule="atLeast"/>
              <w:ind w:left="0"/>
              <w:rPr>
                <w:rFonts w:ascii="宋体" w:eastAsia="宋体" w:hint="eastAsia"/>
                <w:strike w:val="0"/>
                <w:dstrike w:val="0"/>
                <w:vanish w:val="0"/>
                <w:color w:val="666666"/>
                <w:sz w:val="21"/>
                <w:szCs w:val="21"/>
                <w:u w:val="none"/>
              </w:rPr>
            </w:pPr>
          </w:p>
        </w:tc>
      </w:tr>
      <w:tr>
        <w:trPr>
          <w:trHeight w:val="1278"/>
        </w:trPr>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1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拟购仪器功能指标的先进性（10）</w:t>
            </w:r>
          </w:p>
        </w:tc>
        <w:tc>
          <w:tcPr>
            <w:tcW w:w="34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仪器指标国际领先（10）</w:t>
            </w:r>
          </w:p>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仪器指标国内领先（6）</w:t>
            </w:r>
          </w:p>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仪器指标落后（2）</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spacing w:line="329" w:lineRule="atLeast"/>
              <w:ind w:left="0"/>
              <w:rPr>
                <w:rFonts w:ascii="宋体" w:eastAsia="宋体" w:hint="eastAsia"/>
                <w:strike w:val="0"/>
                <w:dstrike w:val="0"/>
                <w:vanish w:val="0"/>
                <w:color w:val="666666"/>
                <w:sz w:val="21"/>
                <w:szCs w:val="21"/>
                <w:u w:val="none"/>
              </w:rPr>
            </w:pP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spacing w:line="329" w:lineRule="atLeast"/>
              <w:ind w:left="0"/>
              <w:rPr>
                <w:rFonts w:ascii="宋体" w:eastAsia="宋体" w:hint="eastAsia"/>
                <w:strike w:val="0"/>
                <w:dstrike w:val="0"/>
                <w:vanish w:val="0"/>
                <w:color w:val="666666"/>
                <w:sz w:val="21"/>
                <w:szCs w:val="21"/>
                <w:u w:val="none"/>
              </w:rPr>
            </w:pPr>
          </w:p>
        </w:tc>
      </w:tr>
      <w:tr>
        <w:trPr>
          <w:trHeight w:val="1015"/>
        </w:trPr>
        <w:tc>
          <w:tcPr>
            <w:tcW w:w="1526"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2．开放共享服务情况（25）</w:t>
            </w:r>
          </w:p>
        </w:tc>
        <w:tc>
          <w:tcPr>
            <w:tcW w:w="21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单位大型科研仪器开放共享工作制度（5）</w:t>
            </w:r>
          </w:p>
        </w:tc>
        <w:tc>
          <w:tcPr>
            <w:tcW w:w="34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制度完善且对外发布（5）</w:t>
            </w:r>
          </w:p>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建立制度但未对外发布（2）</w:t>
            </w:r>
          </w:p>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未建立制度（0）</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spacing w:line="329" w:lineRule="atLeast"/>
              <w:ind w:left="0"/>
              <w:rPr>
                <w:rFonts w:ascii="宋体" w:eastAsia="宋体" w:hint="eastAsia"/>
                <w:strike w:val="0"/>
                <w:dstrike w:val="0"/>
                <w:vanish w:val="0"/>
                <w:color w:val="666666"/>
                <w:sz w:val="21"/>
                <w:szCs w:val="21"/>
                <w:u w:val="none"/>
              </w:rPr>
            </w:pP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spacing w:line="329" w:lineRule="atLeast"/>
              <w:ind w:left="0"/>
              <w:rPr>
                <w:rFonts w:ascii="宋体" w:eastAsia="宋体" w:hint="eastAsia"/>
                <w:strike w:val="0"/>
                <w:dstrike w:val="0"/>
                <w:vanish w:val="0"/>
                <w:color w:val="666666"/>
                <w:sz w:val="21"/>
                <w:szCs w:val="21"/>
                <w:u w:val="none"/>
              </w:rPr>
            </w:pPr>
          </w:p>
        </w:tc>
      </w:tr>
      <w:tr>
        <w:trPr>
          <w:trHeight w:val="850"/>
        </w:trPr>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1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上年度开放共享服务绩效评价成绩（20）</w:t>
            </w:r>
          </w:p>
        </w:tc>
        <w:tc>
          <w:tcPr>
            <w:tcW w:w="34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成绩为优秀（20）</w:t>
            </w:r>
          </w:p>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成绩为合格（10）</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spacing w:line="329" w:lineRule="atLeast"/>
              <w:ind w:left="0"/>
              <w:rPr>
                <w:rFonts w:ascii="宋体" w:eastAsia="宋体" w:hint="eastAsia"/>
                <w:strike w:val="0"/>
                <w:dstrike w:val="0"/>
                <w:vanish w:val="0"/>
                <w:color w:val="666666"/>
                <w:sz w:val="21"/>
                <w:szCs w:val="21"/>
                <w:u w:val="none"/>
              </w:rPr>
            </w:pP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spacing w:line="329" w:lineRule="atLeast"/>
              <w:ind w:left="0"/>
              <w:rPr>
                <w:rFonts w:ascii="宋体" w:eastAsia="宋体" w:hint="eastAsia"/>
                <w:strike w:val="0"/>
                <w:dstrike w:val="0"/>
                <w:vanish w:val="0"/>
                <w:color w:val="666666"/>
                <w:sz w:val="21"/>
                <w:szCs w:val="21"/>
                <w:u w:val="none"/>
              </w:rPr>
            </w:pPr>
          </w:p>
        </w:tc>
      </w:tr>
      <w:tr>
        <w:trPr>
          <w:trHeight w:val="1593"/>
        </w:trPr>
        <w:tc>
          <w:tcPr>
            <w:tcW w:w="1526"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3．设备管理条件（15）</w:t>
            </w:r>
          </w:p>
        </w:tc>
        <w:tc>
          <w:tcPr>
            <w:tcW w:w="21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人员配备情况（10）</w:t>
            </w:r>
          </w:p>
        </w:tc>
        <w:tc>
          <w:tcPr>
            <w:tcW w:w="34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技术人员较强，可满足仪器运转要求（10）</w:t>
            </w:r>
          </w:p>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技术人员一般，培训后可满足仪器运转要求（5）</w:t>
            </w:r>
          </w:p>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技术人员不能满足仪器运转要求（0）</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spacing w:line="329" w:lineRule="atLeast"/>
              <w:ind w:left="0"/>
              <w:rPr>
                <w:rFonts w:ascii="宋体" w:eastAsia="宋体" w:hint="eastAsia"/>
                <w:strike w:val="0"/>
                <w:dstrike w:val="0"/>
                <w:vanish w:val="0"/>
                <w:color w:val="666666"/>
                <w:sz w:val="21"/>
                <w:szCs w:val="21"/>
                <w:u w:val="none"/>
              </w:rPr>
            </w:pP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spacing w:line="329" w:lineRule="atLeast"/>
              <w:ind w:left="0"/>
              <w:rPr>
                <w:rFonts w:ascii="宋体" w:eastAsia="宋体" w:hint="eastAsia"/>
                <w:strike w:val="0"/>
                <w:dstrike w:val="0"/>
                <w:vanish w:val="0"/>
                <w:color w:val="666666"/>
                <w:sz w:val="21"/>
                <w:szCs w:val="21"/>
                <w:u w:val="none"/>
              </w:rPr>
            </w:pPr>
          </w:p>
        </w:tc>
      </w:tr>
      <w:tr>
        <w:trPr>
          <w:trHeight w:val="1290"/>
        </w:trPr>
        <w:tc>
          <w:tcPr>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1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实验室场地条件等配套条件（5）</w:t>
            </w:r>
          </w:p>
        </w:tc>
        <w:tc>
          <w:tcPr>
            <w:tcW w:w="34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符合要求（5）</w:t>
            </w:r>
          </w:p>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基本符合要求（3）</w:t>
            </w:r>
          </w:p>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不符合要求（0）</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spacing w:line="329" w:lineRule="atLeast"/>
              <w:ind w:left="0"/>
              <w:rPr>
                <w:rFonts w:ascii="宋体" w:eastAsia="宋体" w:hint="eastAsia"/>
                <w:strike w:val="0"/>
                <w:dstrike w:val="0"/>
                <w:vanish w:val="0"/>
                <w:color w:val="666666"/>
                <w:sz w:val="21"/>
                <w:szCs w:val="21"/>
                <w:u w:val="none"/>
              </w:rPr>
            </w:pP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spacing w:line="329" w:lineRule="atLeast"/>
              <w:ind w:left="0"/>
              <w:rPr>
                <w:rFonts w:ascii="宋体" w:eastAsia="宋体" w:hint="eastAsia"/>
                <w:strike w:val="0"/>
                <w:dstrike w:val="0"/>
                <w:vanish w:val="0"/>
                <w:color w:val="666666"/>
                <w:sz w:val="21"/>
                <w:szCs w:val="21"/>
                <w:u w:val="none"/>
              </w:rPr>
            </w:pPr>
          </w:p>
        </w:tc>
      </w:tr>
      <w:tr>
        <w:trPr>
          <w:trHeight w:val="1292"/>
        </w:trPr>
        <w:tc>
          <w:tcPr>
            <w:tcW w:w="15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4．设备购置经费预算（10）</w:t>
            </w:r>
          </w:p>
        </w:tc>
        <w:tc>
          <w:tcPr>
            <w:tcW w:w="21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经费预算的合理性（10）</w:t>
            </w:r>
          </w:p>
        </w:tc>
        <w:tc>
          <w:tcPr>
            <w:tcW w:w="34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经费预算合理（10）</w:t>
            </w:r>
          </w:p>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经费预算基本合理（7）</w:t>
            </w:r>
          </w:p>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经费预算不合理（3）</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spacing w:line="329" w:lineRule="atLeast"/>
              <w:ind w:left="0"/>
              <w:rPr>
                <w:rFonts w:ascii="宋体" w:eastAsia="宋体" w:hint="eastAsia"/>
                <w:strike w:val="0"/>
                <w:dstrike w:val="0"/>
                <w:vanish w:val="0"/>
                <w:color w:val="666666"/>
                <w:sz w:val="21"/>
                <w:szCs w:val="21"/>
                <w:u w:val="none"/>
              </w:rPr>
            </w:pP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spacing w:line="329" w:lineRule="atLeast"/>
              <w:ind w:left="0"/>
              <w:rPr>
                <w:rFonts w:ascii="宋体" w:eastAsia="宋体" w:hint="eastAsia"/>
                <w:strike w:val="0"/>
                <w:dstrike w:val="0"/>
                <w:vanish w:val="0"/>
                <w:color w:val="666666"/>
                <w:sz w:val="21"/>
                <w:szCs w:val="21"/>
                <w:u w:val="none"/>
              </w:rPr>
            </w:pPr>
          </w:p>
        </w:tc>
      </w:tr>
      <w:tr>
        <w:trPr>
          <w:trHeight w:val="861"/>
        </w:trPr>
        <w:tc>
          <w:tcPr>
            <w:tcW w:w="8046"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napToGrid w:val="0"/>
              <w:spacing w:beforeLines="50" w:before="156" w:beforeAutospacing="0" w:afterLines="50" w:after="156" w:afterAutospacing="0" w:line="360" w:lineRule="auto"/>
              <w:ind w:left="0" w:right="0"/>
              <w:rPr>
                <w:rFonts w:ascii="宋体" w:eastAsia="宋体" w:hint="eastAsia"/>
                <w:strike w:val="0"/>
                <w:dstrike w:val="0"/>
                <w:vanish w:val="0"/>
                <w:color w:val="666666"/>
                <w:sz w:val="24"/>
                <w:szCs w:val="24"/>
                <w:u w:val="none"/>
              </w:rPr>
            </w:pPr>
            <w:r>
              <w:rPr>
                <w:rFonts w:ascii="宋体" w:eastAsia="宋体" w:hint="eastAsia"/>
                <w:strike w:val="0"/>
                <w:dstrike w:val="0"/>
                <w:vanish w:val="0"/>
                <w:color w:val="666666"/>
                <w:sz w:val="24"/>
                <w:szCs w:val="24"/>
                <w:u w:val="none"/>
              </w:rPr>
              <w:t>合计</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spacing w:line="329" w:lineRule="atLeast"/>
              <w:ind w:left="0"/>
              <w:rPr>
                <w:rFonts w:ascii="宋体" w:eastAsia="宋体" w:hint="eastAsia"/>
                <w:strike w:val="0"/>
                <w:dstrike w:val="0"/>
                <w:vanish w:val="0"/>
                <w:color w:val="666666"/>
                <w:sz w:val="21"/>
                <w:szCs w:val="21"/>
                <w:u w:val="none"/>
              </w:rPr>
            </w:pPr>
          </w:p>
        </w:tc>
      </w:tr>
    </w:tbl>
    <w:p>
      <w:pPr>
        <w:ind w:left="0"/>
        <w:rPr>
          <w:sz w:val="28"/>
        </w:rPr>
      </w:pPr>
      <w:r>
        <w:rPr>
          <w:sz w:val="28"/>
        </w:rPr>
        <w:t>　　备注：在上年度大型科研仪器开放共享服务绩效评价中不合格，或符合条件但未按要求参加绩效评价的管理单位，当年不得申请用财政资金新购大型科研仪器。新加入省大型科研仪器开放共享服务管理平台，未参加上年度绩效评价的管理单位，上年度绩效评价成绩按合格算。</w:t>
      </w:r>
    </w:p>
    <w:p>
      <w:pPr>
        <w:ind w:left="0"/>
        <w:rPr>
          <w:sz w:val="28"/>
        </w:rPr>
      </w:pPr>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0030101010101"/>
    <w:charset w:val="86"/>
    <w:family w:val="auto"/>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hAnsi="Times New Roman"/>
      <w:kern w:val="2"/>
      <w:sz w:val="21"/>
      <w:lang w:val="en-US" w:eastAsia="zh-CN"/>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character" w:styleId="85">
    <w:name w:val="Hyperlink"/>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5</TotalTime>
  <Application>Yozo_Office</Application>
  <Pages>1</Pages>
  <Words>29</Words>
  <Characters>32</Characters>
  <Lines>3</Lines>
  <Paragraphs>3</Paragraphs>
  <CharactersWithSpaces>32</CharactersWithSpaces>
  <Company>HP Inc.</Company>
</Properties>
</file>

<file path=docProps/core.xml><?xml version="1.0" encoding="utf-8"?>
<cp:coreProperties xmlns:cp="http://schemas.openxmlformats.org/package/2006/metadata/core-properties" xmlns:dc="http://purl.org/dc/elements/1.1/" xmlns:dcterms="http://purl.org/dc/terms/" xmlns:xsi="http://www.w3.org/2001/XMLSchema-instance">
  <dc:creator>HP Inc.</dc:creator>
  <cp:lastModifiedBy>HP Inc.</cp:lastModifiedBy>
  <cp:revision>1</cp:revision>
  <dcterms:created xsi:type="dcterms:W3CDTF">2018-12-20T09:36:25Z</dcterms:created>
  <dcterms:modified xsi:type="dcterms:W3CDTF">2018-12-20T09:41:46Z</dcterms:modified>
</cp:coreProperties>
</file>