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5C7" w:rsidRDefault="00A335C7">
      <w:pPr>
        <w:jc w:val="center"/>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6" type="#_x0000_t75" style="position:absolute;left:0;text-align:left;margin-left:-92.7pt;margin-top:-72.65pt;width:601.1pt;height:850.15pt;z-index:-251658240">
            <v:imagedata r:id="rId7" o:title=""/>
          </v:shape>
        </w:pict>
      </w:r>
    </w:p>
    <w:p w:rsidR="00A335C7" w:rsidRDefault="00A335C7">
      <w:pPr>
        <w:jc w:val="center"/>
        <w:rPr>
          <w:sz w:val="36"/>
          <w:szCs w:val="36"/>
        </w:rPr>
      </w:pPr>
    </w:p>
    <w:p w:rsidR="00A335C7" w:rsidRDefault="00A335C7">
      <w:pPr>
        <w:spacing w:line="520" w:lineRule="exact"/>
        <w:rPr>
          <w:sz w:val="28"/>
          <w:szCs w:val="28"/>
        </w:rPr>
      </w:pPr>
    </w:p>
    <w:p w:rsidR="00A335C7" w:rsidRDefault="00A335C7">
      <w:pPr>
        <w:spacing w:line="520" w:lineRule="exact"/>
        <w:jc w:val="center"/>
        <w:rPr>
          <w:sz w:val="36"/>
          <w:szCs w:val="36"/>
        </w:rPr>
      </w:pPr>
    </w:p>
    <w:p w:rsidR="00A335C7" w:rsidRDefault="00A335C7">
      <w:pPr>
        <w:jc w:val="center"/>
        <w:rPr>
          <w:sz w:val="36"/>
          <w:szCs w:val="36"/>
        </w:rPr>
      </w:pPr>
    </w:p>
    <w:p w:rsidR="00A335C7" w:rsidRDefault="00A335C7">
      <w:pPr>
        <w:jc w:val="center"/>
        <w:rPr>
          <w:sz w:val="36"/>
          <w:szCs w:val="36"/>
        </w:rPr>
      </w:pPr>
    </w:p>
    <w:p w:rsidR="00A335C7" w:rsidRDefault="00A335C7">
      <w:pPr>
        <w:jc w:val="center"/>
        <w:rPr>
          <w:rFonts w:ascii="仿宋_GB2312" w:eastAsia="仿宋_GB2312"/>
          <w:sz w:val="32"/>
        </w:rPr>
      </w:pPr>
      <w:r>
        <w:rPr>
          <w:rFonts w:ascii="仿宋_GB2312" w:eastAsia="仿宋_GB2312" w:hAnsi="宋体" w:hint="eastAsia"/>
          <w:sz w:val="32"/>
          <w:szCs w:val="21"/>
        </w:rPr>
        <w:t>有色行指委</w:t>
      </w:r>
      <w:r>
        <w:rPr>
          <w:rFonts w:ascii="仿宋_GB2312" w:eastAsia="仿宋_GB2312" w:hint="eastAsia"/>
          <w:kern w:val="0"/>
          <w:sz w:val="30"/>
          <w:szCs w:val="30"/>
        </w:rPr>
        <w:t>〔</w:t>
      </w:r>
      <w:r>
        <w:rPr>
          <w:rFonts w:ascii="仿宋_GB2312" w:eastAsia="仿宋_GB2312"/>
          <w:kern w:val="0"/>
          <w:sz w:val="30"/>
          <w:szCs w:val="30"/>
        </w:rPr>
        <w:t>2015</w:t>
      </w:r>
      <w:r>
        <w:rPr>
          <w:rFonts w:ascii="仿宋_GB2312" w:eastAsia="仿宋_GB2312" w:hint="eastAsia"/>
          <w:kern w:val="0"/>
          <w:sz w:val="30"/>
          <w:szCs w:val="30"/>
        </w:rPr>
        <w:t>〕</w:t>
      </w:r>
      <w:r>
        <w:rPr>
          <w:rFonts w:ascii="仿宋_GB2312" w:eastAsia="仿宋_GB2312"/>
          <w:sz w:val="32"/>
        </w:rPr>
        <w:t>28</w:t>
      </w:r>
      <w:r>
        <w:rPr>
          <w:rFonts w:ascii="仿宋_GB2312" w:eastAsia="仿宋_GB2312" w:hint="eastAsia"/>
          <w:sz w:val="32"/>
        </w:rPr>
        <w:t>号</w:t>
      </w:r>
    </w:p>
    <w:p w:rsidR="00A335C7" w:rsidRDefault="00A335C7">
      <w:pPr>
        <w:rPr>
          <w:sz w:val="36"/>
          <w:szCs w:val="36"/>
        </w:rPr>
      </w:pPr>
    </w:p>
    <w:p w:rsidR="00A335C7" w:rsidRDefault="00A335C7">
      <w:pPr>
        <w:jc w:val="center"/>
        <w:rPr>
          <w:b/>
          <w:sz w:val="36"/>
          <w:szCs w:val="36"/>
        </w:rPr>
      </w:pPr>
      <w:r>
        <w:rPr>
          <w:rFonts w:hint="eastAsia"/>
          <w:b/>
          <w:sz w:val="36"/>
          <w:szCs w:val="36"/>
        </w:rPr>
        <w:t>关于设立全国有色金属行业</w:t>
      </w:r>
    </w:p>
    <w:p w:rsidR="00A335C7" w:rsidRDefault="00A335C7">
      <w:pPr>
        <w:jc w:val="center"/>
        <w:rPr>
          <w:b/>
          <w:sz w:val="36"/>
          <w:szCs w:val="36"/>
        </w:rPr>
      </w:pPr>
      <w:r>
        <w:rPr>
          <w:rFonts w:hint="eastAsia"/>
          <w:b/>
          <w:sz w:val="36"/>
          <w:szCs w:val="36"/>
        </w:rPr>
        <w:t>职工继续教育基地的通知</w:t>
      </w:r>
    </w:p>
    <w:p w:rsidR="00A335C7" w:rsidRDefault="00A335C7">
      <w:pPr>
        <w:rPr>
          <w:sz w:val="28"/>
          <w:szCs w:val="28"/>
        </w:rPr>
      </w:pPr>
    </w:p>
    <w:p w:rsidR="00A335C7" w:rsidRDefault="00A335C7">
      <w:pPr>
        <w:rPr>
          <w:rFonts w:ascii="仿宋" w:eastAsia="仿宋" w:hAnsi="仿宋"/>
          <w:sz w:val="28"/>
          <w:szCs w:val="28"/>
        </w:rPr>
      </w:pPr>
      <w:r>
        <w:rPr>
          <w:rFonts w:ascii="仿宋" w:eastAsia="仿宋" w:hAnsi="仿宋" w:hint="eastAsia"/>
          <w:sz w:val="28"/>
          <w:szCs w:val="28"/>
        </w:rPr>
        <w:t>各职业院校：</w:t>
      </w:r>
    </w:p>
    <w:p w:rsidR="00A335C7" w:rsidRDefault="00A335C7">
      <w:pPr>
        <w:ind w:firstLine="540"/>
        <w:rPr>
          <w:rFonts w:ascii="仿宋" w:eastAsia="仿宋" w:hAnsi="仿宋"/>
          <w:sz w:val="28"/>
          <w:szCs w:val="28"/>
        </w:rPr>
      </w:pPr>
      <w:r>
        <w:rPr>
          <w:rFonts w:ascii="仿宋" w:eastAsia="仿宋" w:hAnsi="仿宋" w:hint="eastAsia"/>
          <w:sz w:val="28"/>
          <w:szCs w:val="28"/>
        </w:rPr>
        <w:t>有色金属行业是国家基础产业，也是科技先导型产业，拥有近两万家规模以上企业，</w:t>
      </w:r>
      <w:r>
        <w:rPr>
          <w:rFonts w:ascii="仿宋" w:eastAsia="仿宋" w:hAnsi="仿宋"/>
          <w:sz w:val="28"/>
          <w:szCs w:val="28"/>
        </w:rPr>
        <w:t>360</w:t>
      </w:r>
      <w:r>
        <w:rPr>
          <w:rFonts w:ascii="仿宋" w:eastAsia="仿宋" w:hAnsi="仿宋" w:hint="eastAsia"/>
          <w:sz w:val="28"/>
          <w:szCs w:val="28"/>
        </w:rPr>
        <w:t>多万从业人员，产品广泛应用于国民经济的各个领域。为推动有色金属企业职工队伍教育培训体系建设，加快有色金属企业与高等职业院校之间的资源融通与合作，按照教育部、人力资源社会保障部《关于推进职业院校服务经济转型升级</w:t>
      </w:r>
      <w:r>
        <w:rPr>
          <w:rFonts w:ascii="仿宋" w:eastAsia="仿宋" w:hAnsi="仿宋"/>
          <w:sz w:val="28"/>
          <w:szCs w:val="28"/>
        </w:rPr>
        <w:t xml:space="preserve"> </w:t>
      </w:r>
      <w:r>
        <w:rPr>
          <w:rFonts w:ascii="仿宋" w:eastAsia="仿宋" w:hAnsi="仿宋" w:hint="eastAsia"/>
          <w:sz w:val="28"/>
          <w:szCs w:val="28"/>
        </w:rPr>
        <w:t>面向行业企业开展职工继续教育的意见》的要求和部分企业、职业院校的需求。全国有色金属职业教育教学指导委员会（秘书处设在有色金属工业人才中心）拟在相关省份职业院校中设立</w:t>
      </w:r>
      <w:r>
        <w:rPr>
          <w:rFonts w:ascii="仿宋" w:eastAsia="仿宋" w:hAnsi="仿宋"/>
          <w:sz w:val="28"/>
          <w:szCs w:val="28"/>
        </w:rPr>
        <w:t>30</w:t>
      </w:r>
      <w:r>
        <w:rPr>
          <w:rFonts w:ascii="仿宋" w:eastAsia="仿宋" w:hAnsi="仿宋" w:hint="eastAsia"/>
          <w:sz w:val="28"/>
          <w:szCs w:val="28"/>
        </w:rPr>
        <w:t>家左右全国有色金属行业职工继续教育基地，基地的主要任务是通过激发职业院校办学活力，深化产教融合校企合作，完善行业职工教育培训体系，提高支撑有色金属行业发展能力，提升有色金属企业人力资本素质、服务行业创新驱动战略，为建设有色金属强国提供人才保障。现将有关事项通知如下：</w:t>
      </w:r>
    </w:p>
    <w:p w:rsidR="00A335C7" w:rsidRDefault="00A335C7">
      <w:pPr>
        <w:pStyle w:val="1"/>
        <w:numPr>
          <w:ilvl w:val="0"/>
          <w:numId w:val="1"/>
        </w:numPr>
        <w:ind w:firstLineChars="0"/>
        <w:rPr>
          <w:rFonts w:ascii="仿宋" w:eastAsia="仿宋" w:hAnsi="仿宋"/>
          <w:b/>
          <w:sz w:val="28"/>
          <w:szCs w:val="28"/>
        </w:rPr>
      </w:pPr>
      <w:r>
        <w:rPr>
          <w:rFonts w:ascii="仿宋" w:eastAsia="仿宋" w:hAnsi="仿宋" w:hint="eastAsia"/>
          <w:b/>
          <w:sz w:val="28"/>
          <w:szCs w:val="28"/>
        </w:rPr>
        <w:t>基地布局</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有色金属企业遍布全国各省市、自治区，东北，西南、西北、中南是传统有色金属工业基地，具有完备的有色金属产业链；沿海地带是有色金属冶炼、材料加工企业的聚集地，西北及新疆地区是新兴有色金属材料替代区。有色金属企业涉及地质、矿山、冶炼、材料加工等多个生产环节，对工科类专业人才需求迫切，在多地均需要设立职工继续教育基地。</w:t>
      </w:r>
    </w:p>
    <w:p w:rsidR="00A335C7" w:rsidRDefault="00A335C7">
      <w:pPr>
        <w:pStyle w:val="1"/>
        <w:numPr>
          <w:ilvl w:val="0"/>
          <w:numId w:val="1"/>
        </w:numPr>
        <w:ind w:firstLineChars="0"/>
        <w:rPr>
          <w:rFonts w:ascii="仿宋" w:eastAsia="仿宋" w:hAnsi="仿宋"/>
          <w:b/>
          <w:sz w:val="28"/>
          <w:szCs w:val="28"/>
        </w:rPr>
      </w:pPr>
      <w:r>
        <w:rPr>
          <w:rFonts w:ascii="仿宋" w:eastAsia="仿宋" w:hAnsi="仿宋" w:hint="eastAsia"/>
          <w:b/>
          <w:sz w:val="28"/>
          <w:szCs w:val="28"/>
        </w:rPr>
        <w:t>基本任务</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（一）增强职业院校市场意识，开发继续教育课程资源。借助信息化远程在线学习平台，为有色金属行业职工开展远程继续教育培训与考核等工作。</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二）提升师资队伍建设水平，开展职工培训。立足有色金属行业职工知识更新需求与管理、技能提升要求，组织教师定向开发课程，开展形式多样的有偿培训服务，重点提高职工的职业理想、职业道德、技术技能和管理水平。</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（三）开展学历教育。立足学校专业优势，与有色金属企业逐步建立起可持续化双边协议，为企业开展职工委培及在职员工学历晋升教育。</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（四）开展科研与技术创新。围绕有色金属产业升级、科技创新需求，推动有色企业关键技术、工艺、流程的研发与转型升级。</w:t>
      </w:r>
    </w:p>
    <w:p w:rsidR="00A335C7" w:rsidRDefault="00A335C7">
      <w:pPr>
        <w:pStyle w:val="1"/>
        <w:numPr>
          <w:ilvl w:val="0"/>
          <w:numId w:val="1"/>
        </w:numPr>
        <w:ind w:firstLineChars="0"/>
        <w:rPr>
          <w:rFonts w:ascii="仿宋" w:eastAsia="仿宋" w:hAnsi="仿宋"/>
          <w:b/>
          <w:sz w:val="28"/>
          <w:szCs w:val="28"/>
        </w:rPr>
      </w:pPr>
      <w:r>
        <w:rPr>
          <w:rFonts w:ascii="仿宋" w:eastAsia="仿宋" w:hAnsi="仿宋" w:hint="eastAsia"/>
          <w:b/>
          <w:sz w:val="28"/>
          <w:szCs w:val="28"/>
        </w:rPr>
        <w:t>申报条件</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（一）开设有色金属工业主体及相关专业的全国高等职业院校；</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（二）具有符合有色金属行业职工继续教育要求的培训场地、设备设施及实训资源；</w:t>
      </w:r>
    </w:p>
    <w:p w:rsidR="00A335C7" w:rsidRDefault="00A335C7">
      <w:pPr>
        <w:widowControl/>
        <w:wordWrap w:val="0"/>
        <w:ind w:right="150" w:firstLineChars="200" w:firstLine="560"/>
        <w:jc w:val="left"/>
        <w:rPr>
          <w:rFonts w:ascii="仿宋" w:eastAsia="仿宋" w:hAnsi="仿宋"/>
          <w:sz w:val="28"/>
          <w:szCs w:val="28"/>
        </w:rPr>
      </w:pPr>
      <w:r>
        <w:rPr>
          <w:rFonts w:ascii="仿宋" w:eastAsia="仿宋" w:hAnsi="仿宋" w:hint="eastAsia"/>
          <w:sz w:val="28"/>
          <w:szCs w:val="28"/>
        </w:rPr>
        <w:t>（三）拥有专职的培训管理人员和符合资质的专（兼）职培训教师；</w:t>
      </w:r>
    </w:p>
    <w:p w:rsidR="00A335C7" w:rsidRDefault="00A335C7">
      <w:pPr>
        <w:widowControl/>
        <w:wordWrap w:val="0"/>
        <w:ind w:right="150" w:firstLineChars="200" w:firstLine="560"/>
        <w:jc w:val="left"/>
        <w:rPr>
          <w:rFonts w:ascii="仿宋" w:eastAsia="仿宋" w:hAnsi="仿宋"/>
          <w:sz w:val="28"/>
          <w:szCs w:val="28"/>
        </w:rPr>
      </w:pPr>
      <w:r>
        <w:rPr>
          <w:rFonts w:ascii="仿宋" w:eastAsia="仿宋" w:hAnsi="仿宋" w:hint="eastAsia"/>
          <w:sz w:val="28"/>
          <w:szCs w:val="28"/>
        </w:rPr>
        <w:t>（四）与用人单位有良好的合作办学关系，在企业职工技能培训等领域工作特色鲜明，工作效果显著，具有引领和示范效果；</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（五）具有开展职工继续教育的教学计划和较完善的培训发展计划，以及健全的行政管理、教学管理、学员管理、财务等规章制度及培训体系；</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（六）学校高度重视职工继续教育基地建设，确保相应的配套投入，落实基地建设必须的人员、资金、场地和设备等。</w:t>
      </w:r>
    </w:p>
    <w:p w:rsidR="00A335C7" w:rsidRDefault="00A335C7">
      <w:pPr>
        <w:pStyle w:val="1"/>
        <w:numPr>
          <w:ilvl w:val="0"/>
          <w:numId w:val="1"/>
        </w:numPr>
        <w:ind w:firstLineChars="0"/>
        <w:rPr>
          <w:rFonts w:ascii="仿宋" w:eastAsia="仿宋" w:hAnsi="仿宋"/>
          <w:b/>
          <w:sz w:val="28"/>
          <w:szCs w:val="28"/>
        </w:rPr>
      </w:pPr>
      <w:r>
        <w:rPr>
          <w:rFonts w:ascii="仿宋" w:eastAsia="仿宋" w:hAnsi="仿宋" w:hint="eastAsia"/>
          <w:b/>
          <w:sz w:val="28"/>
          <w:szCs w:val="28"/>
        </w:rPr>
        <w:t>组织管理</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（一）有色金属工业人才中心负责全国有色金属行业职工继续教育基地（以下简称“基地”）的审核及管理，制定了“全国有色金属行业职工继续教育基地建设与管理办法”（见附件</w:t>
      </w:r>
      <w:r>
        <w:rPr>
          <w:rFonts w:ascii="仿宋" w:eastAsia="仿宋" w:hAnsi="仿宋"/>
          <w:sz w:val="28"/>
          <w:szCs w:val="28"/>
        </w:rPr>
        <w:t>1</w:t>
      </w:r>
      <w:r>
        <w:rPr>
          <w:rFonts w:ascii="仿宋" w:eastAsia="仿宋" w:hAnsi="仿宋" w:hint="eastAsia"/>
          <w:sz w:val="28"/>
          <w:szCs w:val="28"/>
        </w:rPr>
        <w:t>），并将从以下几个方面指导、协助基地的业务工作开展：</w:t>
      </w:r>
    </w:p>
    <w:p w:rsidR="00A335C7" w:rsidRDefault="00A335C7">
      <w:pPr>
        <w:ind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提供给基地远程在线学习平台（学习、考试、发证、管理）及具有有色金属行业特色的在线学习课程，每年为基地开放</w:t>
      </w:r>
      <w:r>
        <w:rPr>
          <w:rFonts w:ascii="仿宋" w:eastAsia="仿宋" w:hAnsi="仿宋"/>
          <w:sz w:val="28"/>
          <w:szCs w:val="28"/>
        </w:rPr>
        <w:t>5000</w:t>
      </w:r>
      <w:r>
        <w:rPr>
          <w:rFonts w:ascii="仿宋" w:eastAsia="仿宋" w:hAnsi="仿宋" w:hint="eastAsia"/>
          <w:sz w:val="28"/>
          <w:szCs w:val="28"/>
        </w:rPr>
        <w:t>人次，</w:t>
      </w:r>
      <w:r>
        <w:rPr>
          <w:rFonts w:ascii="仿宋" w:eastAsia="仿宋" w:hAnsi="仿宋"/>
          <w:sz w:val="28"/>
          <w:szCs w:val="28"/>
        </w:rPr>
        <w:t>200</w:t>
      </w:r>
      <w:r>
        <w:rPr>
          <w:rFonts w:ascii="仿宋" w:eastAsia="仿宋" w:hAnsi="仿宋" w:hint="eastAsia"/>
          <w:sz w:val="28"/>
          <w:szCs w:val="28"/>
        </w:rPr>
        <w:t>课时（中国有色金属教育培训网远程在线学习课程表详见附件</w:t>
      </w:r>
      <w:r>
        <w:rPr>
          <w:rFonts w:ascii="仿宋" w:eastAsia="仿宋" w:hAnsi="仿宋"/>
          <w:sz w:val="28"/>
          <w:szCs w:val="28"/>
        </w:rPr>
        <w:t>3</w:t>
      </w:r>
      <w:r>
        <w:rPr>
          <w:rFonts w:ascii="仿宋" w:eastAsia="仿宋" w:hAnsi="仿宋" w:hint="eastAsia"/>
          <w:sz w:val="28"/>
          <w:szCs w:val="28"/>
        </w:rPr>
        <w:t>）在线学习名额，并可为受训学员提供继续教育合格证书。</w:t>
      </w:r>
    </w:p>
    <w:p w:rsidR="00A335C7" w:rsidRDefault="00A335C7">
      <w:pPr>
        <w:ind w:firstLine="54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把基地职工继续教育培训计划纳入全国有色金属行业年度培训计划中，向全行业企业做推广、宣传，协助扩大基地的影响力和知名度，为基地与周边有色金属企业搭建交流平台，推进校企对接。</w:t>
      </w:r>
    </w:p>
    <w:p w:rsidR="00A335C7" w:rsidRDefault="00A335C7">
      <w:pPr>
        <w:ind w:firstLine="54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围绕基地专业特点、实训优势，与基地合作共同开发符合有色金属职工继续教育需求的培训包，通过送教进企、引训入校等多种途径，为有色金属行业企业开展有偿培训服务。</w:t>
      </w:r>
    </w:p>
    <w:p w:rsidR="00A335C7" w:rsidRDefault="00A335C7">
      <w:pPr>
        <w:ind w:firstLine="54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结合有色金属工业人才中心为行业开展职工培训经验和资源（有色金属行业职工培训服务手册见附件</w:t>
      </w:r>
      <w:r>
        <w:rPr>
          <w:rFonts w:ascii="仿宋" w:eastAsia="仿宋" w:hAnsi="仿宋"/>
          <w:sz w:val="28"/>
          <w:szCs w:val="28"/>
        </w:rPr>
        <w:t>4</w:t>
      </w:r>
      <w:r>
        <w:rPr>
          <w:rFonts w:ascii="仿宋" w:eastAsia="仿宋" w:hAnsi="仿宋" w:hint="eastAsia"/>
          <w:sz w:val="28"/>
          <w:szCs w:val="28"/>
        </w:rPr>
        <w:t>），为基地提供课程、方案、技术技能专家等资源支持，帮助职业院校引进国际精品培训课程和先进的培训模式。</w:t>
      </w:r>
    </w:p>
    <w:p w:rsidR="00A335C7" w:rsidRDefault="00A335C7">
      <w:pPr>
        <w:ind w:firstLine="540"/>
        <w:rPr>
          <w:rFonts w:ascii="仿宋" w:eastAsia="仿宋" w:hAnsi="仿宋"/>
          <w:sz w:val="28"/>
          <w:szCs w:val="28"/>
        </w:rPr>
      </w:pPr>
      <w:r>
        <w:rPr>
          <w:rFonts w:ascii="仿宋" w:eastAsia="仿宋" w:hAnsi="仿宋" w:hint="eastAsia"/>
          <w:sz w:val="28"/>
          <w:szCs w:val="28"/>
        </w:rPr>
        <w:t>（二）基地应履行的义务</w:t>
      </w:r>
    </w:p>
    <w:p w:rsidR="00A335C7" w:rsidRDefault="00A335C7">
      <w:pPr>
        <w:ind w:firstLineChars="250" w:firstLine="70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基地需与行业共同开发或以基础价格购买在线课程包，并通过行业远程在线平台为企业提供服务。</w:t>
      </w:r>
    </w:p>
    <w:p w:rsidR="00A335C7" w:rsidRDefault="00A335C7">
      <w:pPr>
        <w:ind w:firstLineChars="250" w:firstLine="70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基地在使用行业提供的培训师资时需向企业师资支付合理的课酬；根据企业需要与行业、企业共同开发或购买培训课程。</w:t>
      </w:r>
    </w:p>
    <w:p w:rsidR="00A335C7" w:rsidRDefault="00A335C7">
      <w:pPr>
        <w:ind w:firstLineChars="250" w:firstLine="70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基地需协助行业共同开发、组织周边企业参加培训。</w:t>
      </w:r>
    </w:p>
    <w:p w:rsidR="00A335C7" w:rsidRDefault="00A335C7">
      <w:pPr>
        <w:rPr>
          <w:rFonts w:ascii="仿宋" w:eastAsia="仿宋" w:hAnsi="仿宋"/>
          <w:b/>
          <w:sz w:val="28"/>
          <w:szCs w:val="28"/>
        </w:rPr>
      </w:pPr>
      <w:r>
        <w:rPr>
          <w:rFonts w:ascii="仿宋" w:eastAsia="仿宋" w:hAnsi="仿宋"/>
          <w:sz w:val="28"/>
          <w:szCs w:val="28"/>
        </w:rPr>
        <w:t xml:space="preserve">    </w:t>
      </w:r>
      <w:r>
        <w:rPr>
          <w:rFonts w:ascii="仿宋" w:eastAsia="仿宋" w:hAnsi="仿宋" w:hint="eastAsia"/>
          <w:b/>
          <w:sz w:val="28"/>
          <w:szCs w:val="28"/>
        </w:rPr>
        <w:t>五、申报说明</w:t>
      </w:r>
    </w:p>
    <w:p w:rsidR="00A335C7" w:rsidRDefault="00A335C7">
      <w:pPr>
        <w:ind w:firstLineChars="200" w:firstLine="560"/>
        <w:rPr>
          <w:rFonts w:ascii="仿宋" w:eastAsia="仿宋" w:hAnsi="仿宋"/>
          <w:sz w:val="28"/>
          <w:szCs w:val="28"/>
        </w:rPr>
      </w:pPr>
      <w:r>
        <w:rPr>
          <w:rFonts w:ascii="仿宋" w:eastAsia="仿宋" w:hAnsi="仿宋" w:hint="eastAsia"/>
          <w:sz w:val="28"/>
          <w:szCs w:val="28"/>
        </w:rPr>
        <w:t>请各有关职业院校如实申报，并于</w:t>
      </w:r>
      <w:smartTag w:uri="urn:schemas-microsoft-com:office:smarttags" w:element="chsdate">
        <w:smartTagPr>
          <w:attr w:name="IsROCDate" w:val="False"/>
          <w:attr w:name="IsLunarDate" w:val="False"/>
          <w:attr w:name="Day" w:val="15"/>
          <w:attr w:name="Month" w:val="11"/>
          <w:attr w:name="Year" w:val="2015"/>
        </w:smartTagPr>
        <w:r>
          <w:rPr>
            <w:rFonts w:ascii="仿宋" w:eastAsia="仿宋" w:hAnsi="仿宋"/>
            <w:sz w:val="28"/>
            <w:szCs w:val="28"/>
          </w:rPr>
          <w:t>11</w:t>
        </w:r>
        <w:r>
          <w:rPr>
            <w:rFonts w:ascii="仿宋" w:eastAsia="仿宋" w:hAnsi="仿宋" w:hint="eastAsia"/>
            <w:sz w:val="28"/>
            <w:szCs w:val="28"/>
          </w:rPr>
          <w:t>月</w:t>
        </w:r>
        <w:r>
          <w:rPr>
            <w:rFonts w:ascii="仿宋" w:eastAsia="仿宋" w:hAnsi="仿宋"/>
            <w:sz w:val="28"/>
            <w:szCs w:val="28"/>
          </w:rPr>
          <w:t>15</w:t>
        </w:r>
        <w:r>
          <w:rPr>
            <w:rFonts w:ascii="仿宋" w:eastAsia="仿宋" w:hAnsi="仿宋" w:hint="eastAsia"/>
            <w:sz w:val="28"/>
            <w:szCs w:val="28"/>
          </w:rPr>
          <w:t>日前</w:t>
        </w:r>
      </w:smartTag>
      <w:r>
        <w:rPr>
          <w:rFonts w:ascii="仿宋" w:eastAsia="仿宋" w:hAnsi="仿宋" w:hint="eastAsia"/>
          <w:sz w:val="28"/>
          <w:szCs w:val="28"/>
        </w:rPr>
        <w:t>将申请表（见附件</w:t>
      </w:r>
      <w:r>
        <w:rPr>
          <w:rFonts w:ascii="仿宋" w:eastAsia="仿宋" w:hAnsi="仿宋"/>
          <w:sz w:val="28"/>
          <w:szCs w:val="28"/>
        </w:rPr>
        <w:t>2</w:t>
      </w:r>
      <w:r>
        <w:rPr>
          <w:rFonts w:ascii="仿宋" w:eastAsia="仿宋" w:hAnsi="仿宋" w:hint="eastAsia"/>
          <w:sz w:val="28"/>
          <w:szCs w:val="28"/>
        </w:rPr>
        <w:t>）报给有色金属工业人才中心，同时报送电子版材料。</w:t>
      </w:r>
    </w:p>
    <w:p w:rsidR="00A335C7" w:rsidRPr="0098354B" w:rsidRDefault="00A335C7" w:rsidP="0098354B">
      <w:pPr>
        <w:ind w:firstLine="555"/>
        <w:rPr>
          <w:rFonts w:ascii="仿宋" w:eastAsia="仿宋" w:hAnsi="仿宋"/>
          <w:b/>
          <w:sz w:val="28"/>
          <w:szCs w:val="28"/>
        </w:rPr>
      </w:pPr>
      <w:r>
        <w:rPr>
          <w:rFonts w:ascii="仿宋" w:eastAsia="仿宋" w:hAnsi="仿宋" w:hint="eastAsia"/>
          <w:b/>
          <w:sz w:val="28"/>
          <w:szCs w:val="28"/>
        </w:rPr>
        <w:t>六、联系方式</w:t>
      </w:r>
    </w:p>
    <w:p w:rsidR="00A335C7" w:rsidRDefault="00A335C7">
      <w:pPr>
        <w:ind w:firstLine="555"/>
        <w:rPr>
          <w:rFonts w:ascii="仿宋" w:eastAsia="仿宋" w:hAnsi="仿宋"/>
          <w:sz w:val="28"/>
          <w:szCs w:val="28"/>
        </w:rPr>
      </w:pPr>
      <w:r>
        <w:rPr>
          <w:rFonts w:ascii="仿宋" w:eastAsia="仿宋" w:hAnsi="仿宋" w:hint="eastAsia"/>
          <w:sz w:val="28"/>
          <w:szCs w:val="28"/>
        </w:rPr>
        <w:t>联系人：刘九青</w:t>
      </w:r>
      <w:r>
        <w:rPr>
          <w:rFonts w:ascii="仿宋" w:eastAsia="仿宋" w:hAnsi="仿宋"/>
          <w:sz w:val="28"/>
          <w:szCs w:val="28"/>
        </w:rPr>
        <w:t xml:space="preserve">  010-62259486</w:t>
      </w:r>
      <w:r>
        <w:rPr>
          <w:rFonts w:ascii="仿宋" w:eastAsia="仿宋" w:hAnsi="仿宋" w:hint="eastAsia"/>
          <w:sz w:val="28"/>
          <w:szCs w:val="28"/>
        </w:rPr>
        <w:t>、</w:t>
      </w:r>
      <w:r>
        <w:rPr>
          <w:rFonts w:ascii="仿宋" w:eastAsia="仿宋" w:hAnsi="仿宋"/>
          <w:sz w:val="28"/>
          <w:szCs w:val="28"/>
        </w:rPr>
        <w:t>18910580697</w:t>
      </w:r>
    </w:p>
    <w:p w:rsidR="00A335C7" w:rsidRDefault="00A335C7">
      <w:pPr>
        <w:ind w:firstLineChars="600" w:firstLine="1680"/>
        <w:rPr>
          <w:rFonts w:ascii="仿宋" w:eastAsia="仿宋" w:hAnsi="仿宋"/>
          <w:sz w:val="28"/>
          <w:szCs w:val="28"/>
        </w:rPr>
      </w:pPr>
      <w:r>
        <w:rPr>
          <w:rFonts w:ascii="仿宋" w:eastAsia="仿宋" w:hAnsi="仿宋" w:hint="eastAsia"/>
          <w:sz w:val="28"/>
          <w:szCs w:val="28"/>
        </w:rPr>
        <w:t>祝丽华</w:t>
      </w:r>
      <w:r>
        <w:rPr>
          <w:rFonts w:ascii="仿宋" w:eastAsia="仿宋" w:hAnsi="仿宋"/>
          <w:sz w:val="28"/>
          <w:szCs w:val="28"/>
        </w:rPr>
        <w:t xml:space="preserve">  010-62225367</w:t>
      </w:r>
      <w:r>
        <w:rPr>
          <w:rFonts w:ascii="仿宋" w:eastAsia="仿宋" w:hAnsi="仿宋" w:hint="eastAsia"/>
          <w:sz w:val="28"/>
          <w:szCs w:val="28"/>
        </w:rPr>
        <w:t>、</w:t>
      </w:r>
      <w:r>
        <w:rPr>
          <w:rFonts w:ascii="仿宋" w:eastAsia="仿宋" w:hAnsi="仿宋"/>
          <w:sz w:val="28"/>
          <w:szCs w:val="28"/>
        </w:rPr>
        <w:t>18600464068</w:t>
      </w:r>
    </w:p>
    <w:p w:rsidR="00A335C7" w:rsidRDefault="00A335C7">
      <w:pPr>
        <w:ind w:firstLine="555"/>
        <w:rPr>
          <w:rFonts w:ascii="仿宋" w:eastAsia="仿宋" w:hAnsi="仿宋"/>
          <w:sz w:val="28"/>
          <w:szCs w:val="28"/>
        </w:rPr>
      </w:pPr>
      <w:r>
        <w:rPr>
          <w:rFonts w:ascii="仿宋" w:eastAsia="仿宋" w:hAnsi="仿宋" w:hint="eastAsia"/>
          <w:sz w:val="28"/>
          <w:szCs w:val="28"/>
        </w:rPr>
        <w:t>传真：</w:t>
      </w:r>
      <w:r>
        <w:rPr>
          <w:rFonts w:ascii="仿宋" w:eastAsia="仿宋" w:hAnsi="仿宋"/>
          <w:sz w:val="28"/>
          <w:szCs w:val="28"/>
        </w:rPr>
        <w:t>010-62265730</w:t>
      </w:r>
      <w:r>
        <w:rPr>
          <w:rFonts w:ascii="仿宋" w:eastAsia="仿宋" w:hAnsi="仿宋" w:hint="eastAsia"/>
          <w:sz w:val="28"/>
          <w:szCs w:val="28"/>
        </w:rPr>
        <w:t>（兼传真）</w:t>
      </w:r>
    </w:p>
    <w:p w:rsidR="00A335C7" w:rsidRDefault="00A335C7">
      <w:pPr>
        <w:ind w:firstLine="555"/>
        <w:rPr>
          <w:rFonts w:ascii="仿宋" w:eastAsia="仿宋" w:hAnsi="仿宋"/>
          <w:sz w:val="28"/>
          <w:szCs w:val="28"/>
        </w:rPr>
      </w:pPr>
      <w:r>
        <w:rPr>
          <w:rFonts w:ascii="仿宋" w:eastAsia="仿宋" w:hAnsi="仿宋" w:hint="eastAsia"/>
          <w:sz w:val="28"/>
          <w:szCs w:val="28"/>
        </w:rPr>
        <w:t>邮箱：</w:t>
      </w:r>
      <w:r w:rsidRPr="0098354B">
        <w:rPr>
          <w:rFonts w:ascii="仿宋" w:eastAsia="仿宋" w:hAnsi="仿宋"/>
          <w:sz w:val="28"/>
          <w:szCs w:val="28"/>
        </w:rPr>
        <w:t>liujiuqing@cnmet.org</w:t>
      </w:r>
      <w:bookmarkStart w:id="0" w:name="_GoBack"/>
      <w:bookmarkEnd w:id="0"/>
    </w:p>
    <w:p w:rsidR="00A335C7" w:rsidRDefault="00A335C7">
      <w:pPr>
        <w:ind w:firstLine="555"/>
        <w:rPr>
          <w:rFonts w:ascii="仿宋" w:eastAsia="仿宋" w:hAnsi="仿宋"/>
          <w:sz w:val="28"/>
          <w:szCs w:val="28"/>
        </w:rPr>
      </w:pPr>
      <w:r>
        <w:rPr>
          <w:rFonts w:ascii="仿宋" w:eastAsia="仿宋" w:hAnsi="仿宋" w:hint="eastAsia"/>
          <w:sz w:val="28"/>
          <w:szCs w:val="28"/>
        </w:rPr>
        <w:t>地址：北京海淀区首体南路</w:t>
      </w:r>
      <w:r>
        <w:rPr>
          <w:rFonts w:ascii="仿宋" w:eastAsia="仿宋" w:hAnsi="仿宋"/>
          <w:sz w:val="28"/>
          <w:szCs w:val="28"/>
        </w:rPr>
        <w:t>9</w:t>
      </w:r>
      <w:r>
        <w:rPr>
          <w:rFonts w:ascii="仿宋" w:eastAsia="仿宋" w:hAnsi="仿宋" w:hint="eastAsia"/>
          <w:sz w:val="28"/>
          <w:szCs w:val="28"/>
        </w:rPr>
        <w:t>号主语国际商务中心</w:t>
      </w:r>
      <w:r>
        <w:rPr>
          <w:rFonts w:ascii="仿宋" w:eastAsia="仿宋" w:hAnsi="仿宋"/>
          <w:sz w:val="28"/>
          <w:szCs w:val="28"/>
        </w:rPr>
        <w:t>7</w:t>
      </w:r>
      <w:r>
        <w:rPr>
          <w:rFonts w:ascii="仿宋" w:eastAsia="仿宋" w:hAnsi="仿宋" w:hint="eastAsia"/>
          <w:sz w:val="28"/>
          <w:szCs w:val="28"/>
        </w:rPr>
        <w:t>号楼</w:t>
      </w:r>
      <w:r>
        <w:rPr>
          <w:rFonts w:ascii="仿宋" w:eastAsia="仿宋" w:hAnsi="仿宋"/>
          <w:sz w:val="28"/>
          <w:szCs w:val="28"/>
        </w:rPr>
        <w:t>402</w:t>
      </w:r>
      <w:r>
        <w:rPr>
          <w:rFonts w:ascii="仿宋" w:eastAsia="仿宋" w:hAnsi="仿宋" w:hint="eastAsia"/>
          <w:sz w:val="28"/>
          <w:szCs w:val="28"/>
        </w:rPr>
        <w:t>室</w:t>
      </w:r>
    </w:p>
    <w:p w:rsidR="00A335C7" w:rsidRDefault="00A335C7">
      <w:pPr>
        <w:rPr>
          <w:rFonts w:ascii="仿宋" w:eastAsia="仿宋" w:hAnsi="仿宋"/>
          <w:sz w:val="28"/>
          <w:szCs w:val="28"/>
        </w:rPr>
      </w:pPr>
    </w:p>
    <w:p w:rsidR="00A335C7" w:rsidRDefault="00A335C7">
      <w:pPr>
        <w:ind w:left="540"/>
        <w:rPr>
          <w:rFonts w:ascii="仿宋" w:eastAsia="仿宋" w:hAnsi="仿宋"/>
          <w:sz w:val="28"/>
          <w:szCs w:val="28"/>
        </w:rPr>
      </w:pPr>
      <w:r>
        <w:rPr>
          <w:rFonts w:ascii="仿宋" w:eastAsia="仿宋" w:hAnsi="仿宋" w:hint="eastAsia"/>
          <w:sz w:val="28"/>
          <w:szCs w:val="28"/>
        </w:rPr>
        <w:t>附件：</w:t>
      </w:r>
    </w:p>
    <w:p w:rsidR="00A335C7" w:rsidRDefault="00A335C7">
      <w:pPr>
        <w:ind w:left="54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全国有色金属行业职工继续教育基地建设与管理办法</w:t>
      </w:r>
    </w:p>
    <w:p w:rsidR="00A335C7" w:rsidRDefault="00A335C7">
      <w:pPr>
        <w:ind w:left="540"/>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全国有色金属行业职工继续教育基地申请表</w:t>
      </w:r>
    </w:p>
    <w:p w:rsidR="00A335C7" w:rsidRDefault="00A335C7">
      <w:pPr>
        <w:ind w:left="540"/>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《中国有色金属教育培训网》远程在线培训课程表</w:t>
      </w:r>
    </w:p>
    <w:p w:rsidR="00A335C7" w:rsidRDefault="00A335C7">
      <w:pPr>
        <w:ind w:left="540"/>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有色金属行业职工培训服务手册</w:t>
      </w:r>
    </w:p>
    <w:p w:rsidR="00A335C7" w:rsidRDefault="00A335C7">
      <w:pPr>
        <w:ind w:left="540"/>
        <w:rPr>
          <w:rFonts w:ascii="仿宋" w:eastAsia="仿宋" w:hAnsi="仿宋"/>
          <w:sz w:val="28"/>
          <w:szCs w:val="28"/>
        </w:rPr>
      </w:pPr>
      <w:r w:rsidRPr="00AE5EFF">
        <w:rPr>
          <w:rFonts w:ascii="仿宋" w:eastAsia="仿宋" w:hAnsi="仿宋" w:hint="eastAsia"/>
          <w:sz w:val="28"/>
          <w:szCs w:val="28"/>
        </w:rPr>
        <w:t>以上附件内容请登陆中国有色金属教育培训网（</w:t>
      </w:r>
      <w:hyperlink r:id="rId8" w:tgtFrame="_blank" w:tooltip="This external link will open in a new window" w:history="1">
        <w:r w:rsidRPr="00AE5EFF">
          <w:rPr>
            <w:rFonts w:ascii="仿宋" w:eastAsia="仿宋" w:hAnsi="仿宋"/>
            <w:sz w:val="28"/>
            <w:szCs w:val="28"/>
          </w:rPr>
          <w:t>www.cnmet.org</w:t>
        </w:r>
      </w:hyperlink>
      <w:r w:rsidRPr="00AE5EFF">
        <w:rPr>
          <w:rFonts w:ascii="仿宋" w:eastAsia="仿宋" w:hAnsi="仿宋" w:hint="eastAsia"/>
          <w:sz w:val="28"/>
          <w:szCs w:val="28"/>
        </w:rPr>
        <w:t>）</w:t>
      </w:r>
    </w:p>
    <w:p w:rsidR="00A335C7" w:rsidRPr="00AE5EFF" w:rsidRDefault="00A335C7" w:rsidP="00AE5EFF">
      <w:pPr>
        <w:rPr>
          <w:rFonts w:ascii="仿宋" w:eastAsia="仿宋" w:hAnsi="仿宋"/>
          <w:sz w:val="28"/>
          <w:szCs w:val="28"/>
        </w:rPr>
      </w:pPr>
      <w:r w:rsidRPr="00AE5EFF">
        <w:rPr>
          <w:rFonts w:ascii="仿宋" w:eastAsia="仿宋" w:hAnsi="仿宋"/>
          <w:sz w:val="28"/>
          <w:szCs w:val="28"/>
        </w:rPr>
        <w:t>“</w:t>
      </w:r>
      <w:r w:rsidRPr="00AE5EFF">
        <w:rPr>
          <w:rFonts w:ascii="仿宋" w:eastAsia="仿宋" w:hAnsi="仿宋" w:hint="eastAsia"/>
          <w:sz w:val="28"/>
          <w:szCs w:val="28"/>
        </w:rPr>
        <w:t>公告</w:t>
      </w:r>
      <w:r w:rsidRPr="00AE5EFF">
        <w:rPr>
          <w:rFonts w:ascii="仿宋" w:eastAsia="仿宋" w:hAnsi="仿宋"/>
          <w:sz w:val="28"/>
          <w:szCs w:val="28"/>
        </w:rPr>
        <w:t>”</w:t>
      </w:r>
      <w:r w:rsidRPr="00AE5EFF">
        <w:rPr>
          <w:rFonts w:ascii="仿宋" w:eastAsia="仿宋" w:hAnsi="仿宋" w:hint="eastAsia"/>
          <w:sz w:val="28"/>
          <w:szCs w:val="28"/>
        </w:rPr>
        <w:t>栏目</w:t>
      </w:r>
      <w:r>
        <w:rPr>
          <w:rFonts w:ascii="仿宋" w:eastAsia="仿宋" w:hAnsi="仿宋" w:hint="eastAsia"/>
          <w:sz w:val="28"/>
          <w:szCs w:val="28"/>
        </w:rPr>
        <w:t>查看、</w:t>
      </w:r>
      <w:r w:rsidRPr="00AE5EFF">
        <w:rPr>
          <w:rFonts w:ascii="仿宋" w:eastAsia="仿宋" w:hAnsi="仿宋" w:hint="eastAsia"/>
          <w:sz w:val="28"/>
          <w:szCs w:val="28"/>
        </w:rPr>
        <w:t>下载。</w:t>
      </w:r>
    </w:p>
    <w:p w:rsidR="00A335C7" w:rsidRDefault="00A335C7">
      <w:pPr>
        <w:ind w:left="540"/>
        <w:rPr>
          <w:rFonts w:ascii="仿宋" w:eastAsia="仿宋" w:hAnsi="仿宋"/>
          <w:sz w:val="28"/>
          <w:szCs w:val="28"/>
        </w:rPr>
      </w:pPr>
      <w:r>
        <w:rPr>
          <w:noProof/>
        </w:rPr>
        <w:pict>
          <v:shape id="图片 1" o:spid="_x0000_s1027" type="#_x0000_t75" style="position:absolute;left:0;text-align:left;margin-left:11.2pt;margin-top:1.85pt;width:415.7pt;height:279.15pt;z-index:251657216;visibility:visible">
            <v:imagedata r:id="rId9" o:title=""/>
          </v:shape>
        </w:pict>
      </w:r>
    </w:p>
    <w:p w:rsidR="00A335C7" w:rsidRPr="00C80238" w:rsidRDefault="00A335C7" w:rsidP="00C80238">
      <w:pPr>
        <w:widowControl/>
        <w:jc w:val="left"/>
        <w:rPr>
          <w:rFonts w:ascii="宋体" w:cs="宋体"/>
          <w:kern w:val="0"/>
          <w:sz w:val="24"/>
          <w:szCs w:val="24"/>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p w:rsidR="00A335C7" w:rsidRDefault="00A335C7">
      <w:pPr>
        <w:ind w:left="540"/>
        <w:rPr>
          <w:rFonts w:ascii="仿宋" w:eastAsia="仿宋" w:hAnsi="仿宋"/>
          <w:sz w:val="28"/>
          <w:szCs w:val="28"/>
        </w:rPr>
      </w:pPr>
    </w:p>
    <w:sectPr w:rsidR="00A335C7" w:rsidSect="0061114B">
      <w:footerReference w:type="default" r:id="rId10"/>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C7" w:rsidRDefault="00A335C7">
      <w:r>
        <w:separator/>
      </w:r>
    </w:p>
  </w:endnote>
  <w:endnote w:type="continuationSeparator" w:id="0">
    <w:p w:rsidR="00A335C7" w:rsidRDefault="00A33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5C7" w:rsidRDefault="00A335C7">
    <w:pPr>
      <w:pStyle w:val="Footer"/>
      <w:jc w:val="center"/>
      <w:rPr>
        <w:sz w:val="21"/>
        <w:szCs w:val="21"/>
      </w:rPr>
    </w:pPr>
    <w:r>
      <w:rPr>
        <w:sz w:val="21"/>
        <w:szCs w:val="21"/>
      </w:rPr>
      <w:fldChar w:fldCharType="begin"/>
    </w:r>
    <w:r>
      <w:rPr>
        <w:sz w:val="21"/>
        <w:szCs w:val="21"/>
      </w:rPr>
      <w:instrText>PAGE   \* MERGEFORMAT</w:instrText>
    </w:r>
    <w:r>
      <w:rPr>
        <w:sz w:val="21"/>
        <w:szCs w:val="21"/>
      </w:rPr>
      <w:fldChar w:fldCharType="separate"/>
    </w:r>
    <w:r w:rsidRPr="00103FED">
      <w:rPr>
        <w:noProof/>
        <w:sz w:val="21"/>
        <w:szCs w:val="21"/>
        <w:lang w:val="zh-CN"/>
      </w:rPr>
      <w:t>3</w:t>
    </w:r>
    <w:r>
      <w:rPr>
        <w:sz w:val="21"/>
        <w:szCs w:val="21"/>
      </w:rPr>
      <w:fldChar w:fldCharType="end"/>
    </w:r>
  </w:p>
  <w:p w:rsidR="00A335C7" w:rsidRDefault="00A335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C7" w:rsidRDefault="00A335C7">
      <w:r>
        <w:separator/>
      </w:r>
    </w:p>
  </w:footnote>
  <w:footnote w:type="continuationSeparator" w:id="0">
    <w:p w:rsidR="00A335C7" w:rsidRDefault="00A33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A5EBB"/>
    <w:multiLevelType w:val="multilevel"/>
    <w:tmpl w:val="4A7A5EBB"/>
    <w:lvl w:ilvl="0">
      <w:start w:val="1"/>
      <w:numFmt w:val="japaneseCounting"/>
      <w:lvlText w:val="%1、"/>
      <w:lvlJc w:val="left"/>
      <w:pPr>
        <w:ind w:left="1260" w:hanging="720"/>
      </w:pPr>
      <w:rPr>
        <w:rFonts w:cs="Times New Roman" w:hint="default"/>
      </w:rPr>
    </w:lvl>
    <w:lvl w:ilvl="1" w:tentative="1">
      <w:start w:val="1"/>
      <w:numFmt w:val="lowerLetter"/>
      <w:lvlText w:val="%2)"/>
      <w:lvlJc w:val="left"/>
      <w:pPr>
        <w:ind w:left="1380" w:hanging="420"/>
      </w:pPr>
      <w:rPr>
        <w:rFonts w:cs="Times New Roman"/>
      </w:rPr>
    </w:lvl>
    <w:lvl w:ilvl="2" w:tentative="1">
      <w:start w:val="1"/>
      <w:numFmt w:val="lowerRoman"/>
      <w:lvlText w:val="%3."/>
      <w:lvlJc w:val="right"/>
      <w:pPr>
        <w:ind w:left="1800" w:hanging="420"/>
      </w:pPr>
      <w:rPr>
        <w:rFonts w:cs="Times New Roman"/>
      </w:rPr>
    </w:lvl>
    <w:lvl w:ilvl="3" w:tentative="1">
      <w:start w:val="1"/>
      <w:numFmt w:val="decimal"/>
      <w:lvlText w:val="%4."/>
      <w:lvlJc w:val="left"/>
      <w:pPr>
        <w:ind w:left="2220" w:hanging="420"/>
      </w:pPr>
      <w:rPr>
        <w:rFonts w:cs="Times New Roman"/>
      </w:rPr>
    </w:lvl>
    <w:lvl w:ilvl="4" w:tentative="1">
      <w:start w:val="1"/>
      <w:numFmt w:val="lowerLetter"/>
      <w:lvlText w:val="%5)"/>
      <w:lvlJc w:val="left"/>
      <w:pPr>
        <w:ind w:left="2640" w:hanging="420"/>
      </w:pPr>
      <w:rPr>
        <w:rFonts w:cs="Times New Roman"/>
      </w:rPr>
    </w:lvl>
    <w:lvl w:ilvl="5" w:tentative="1">
      <w:start w:val="1"/>
      <w:numFmt w:val="lowerRoman"/>
      <w:lvlText w:val="%6."/>
      <w:lvlJc w:val="right"/>
      <w:pPr>
        <w:ind w:left="3060" w:hanging="420"/>
      </w:pPr>
      <w:rPr>
        <w:rFonts w:cs="Times New Roman"/>
      </w:rPr>
    </w:lvl>
    <w:lvl w:ilvl="6" w:tentative="1">
      <w:start w:val="1"/>
      <w:numFmt w:val="decimal"/>
      <w:lvlText w:val="%7."/>
      <w:lvlJc w:val="left"/>
      <w:pPr>
        <w:ind w:left="3480" w:hanging="420"/>
      </w:pPr>
      <w:rPr>
        <w:rFonts w:cs="Times New Roman"/>
      </w:rPr>
    </w:lvl>
    <w:lvl w:ilvl="7" w:tentative="1">
      <w:start w:val="1"/>
      <w:numFmt w:val="lowerLetter"/>
      <w:lvlText w:val="%8)"/>
      <w:lvlJc w:val="left"/>
      <w:pPr>
        <w:ind w:left="3900" w:hanging="420"/>
      </w:pPr>
      <w:rPr>
        <w:rFonts w:cs="Times New Roman"/>
      </w:rPr>
    </w:lvl>
    <w:lvl w:ilvl="8" w:tentative="1">
      <w:start w:val="1"/>
      <w:numFmt w:val="lowerRoman"/>
      <w:lvlText w:val="%9."/>
      <w:lvlJc w:val="right"/>
      <w:pPr>
        <w:ind w:left="43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0B9"/>
    <w:rsid w:val="00015B3D"/>
    <w:rsid w:val="00017C15"/>
    <w:rsid w:val="0004436F"/>
    <w:rsid w:val="000912F5"/>
    <w:rsid w:val="00095D2B"/>
    <w:rsid w:val="000A5DDB"/>
    <w:rsid w:val="000A65B9"/>
    <w:rsid w:val="000B7C5A"/>
    <w:rsid w:val="000C4636"/>
    <w:rsid w:val="000D5F88"/>
    <w:rsid w:val="000E1CD0"/>
    <w:rsid w:val="000F69E4"/>
    <w:rsid w:val="00103FED"/>
    <w:rsid w:val="001073ED"/>
    <w:rsid w:val="001152E1"/>
    <w:rsid w:val="00134216"/>
    <w:rsid w:val="001511AE"/>
    <w:rsid w:val="00174394"/>
    <w:rsid w:val="00197F5E"/>
    <w:rsid w:val="001B0B79"/>
    <w:rsid w:val="001D328C"/>
    <w:rsid w:val="001E3C15"/>
    <w:rsid w:val="001E4178"/>
    <w:rsid w:val="001F73F1"/>
    <w:rsid w:val="00210740"/>
    <w:rsid w:val="00224AFD"/>
    <w:rsid w:val="00230EA6"/>
    <w:rsid w:val="00264E7C"/>
    <w:rsid w:val="00274D5D"/>
    <w:rsid w:val="00292C77"/>
    <w:rsid w:val="0029528A"/>
    <w:rsid w:val="002A70D0"/>
    <w:rsid w:val="002B73A3"/>
    <w:rsid w:val="002C573A"/>
    <w:rsid w:val="002C6D79"/>
    <w:rsid w:val="002D30A6"/>
    <w:rsid w:val="002F2907"/>
    <w:rsid w:val="00300C82"/>
    <w:rsid w:val="00314FF1"/>
    <w:rsid w:val="00346D6F"/>
    <w:rsid w:val="0036030C"/>
    <w:rsid w:val="00367089"/>
    <w:rsid w:val="003730AE"/>
    <w:rsid w:val="003A231F"/>
    <w:rsid w:val="003C2259"/>
    <w:rsid w:val="003C5212"/>
    <w:rsid w:val="003E34BD"/>
    <w:rsid w:val="003E53D3"/>
    <w:rsid w:val="003F0400"/>
    <w:rsid w:val="003F0AE4"/>
    <w:rsid w:val="00414352"/>
    <w:rsid w:val="00432BD5"/>
    <w:rsid w:val="00435E70"/>
    <w:rsid w:val="004542CD"/>
    <w:rsid w:val="00457B8D"/>
    <w:rsid w:val="00464FD8"/>
    <w:rsid w:val="00481DC0"/>
    <w:rsid w:val="004938A2"/>
    <w:rsid w:val="00497E39"/>
    <w:rsid w:val="004B199C"/>
    <w:rsid w:val="004D3E72"/>
    <w:rsid w:val="004D66ED"/>
    <w:rsid w:val="004D6FB8"/>
    <w:rsid w:val="004E2A82"/>
    <w:rsid w:val="004F6135"/>
    <w:rsid w:val="00521107"/>
    <w:rsid w:val="005474AF"/>
    <w:rsid w:val="00547F99"/>
    <w:rsid w:val="00590F32"/>
    <w:rsid w:val="00593852"/>
    <w:rsid w:val="00597ED6"/>
    <w:rsid w:val="005A0710"/>
    <w:rsid w:val="005B39AB"/>
    <w:rsid w:val="005B3C6F"/>
    <w:rsid w:val="005C699C"/>
    <w:rsid w:val="005D5834"/>
    <w:rsid w:val="005E3176"/>
    <w:rsid w:val="005F4078"/>
    <w:rsid w:val="005F527B"/>
    <w:rsid w:val="00606947"/>
    <w:rsid w:val="00610603"/>
    <w:rsid w:val="0061114B"/>
    <w:rsid w:val="00622D51"/>
    <w:rsid w:val="0062599B"/>
    <w:rsid w:val="0062690C"/>
    <w:rsid w:val="006419B2"/>
    <w:rsid w:val="00647D08"/>
    <w:rsid w:val="006827A2"/>
    <w:rsid w:val="00682BC5"/>
    <w:rsid w:val="006851E8"/>
    <w:rsid w:val="006855E6"/>
    <w:rsid w:val="006932B4"/>
    <w:rsid w:val="00695D93"/>
    <w:rsid w:val="00696BD3"/>
    <w:rsid w:val="006A49B7"/>
    <w:rsid w:val="006E37FF"/>
    <w:rsid w:val="006E6B9B"/>
    <w:rsid w:val="006F2D81"/>
    <w:rsid w:val="00712556"/>
    <w:rsid w:val="00732741"/>
    <w:rsid w:val="007355E2"/>
    <w:rsid w:val="00736808"/>
    <w:rsid w:val="00736EE6"/>
    <w:rsid w:val="0075668C"/>
    <w:rsid w:val="0076098E"/>
    <w:rsid w:val="007622FB"/>
    <w:rsid w:val="007810FD"/>
    <w:rsid w:val="0078257C"/>
    <w:rsid w:val="007B6B24"/>
    <w:rsid w:val="007B7B35"/>
    <w:rsid w:val="007C41D5"/>
    <w:rsid w:val="007E0C62"/>
    <w:rsid w:val="007E0DF3"/>
    <w:rsid w:val="007F0509"/>
    <w:rsid w:val="007F11BF"/>
    <w:rsid w:val="007F1206"/>
    <w:rsid w:val="0081488A"/>
    <w:rsid w:val="008213BB"/>
    <w:rsid w:val="00862121"/>
    <w:rsid w:val="00873720"/>
    <w:rsid w:val="00875D6A"/>
    <w:rsid w:val="00884756"/>
    <w:rsid w:val="00884B27"/>
    <w:rsid w:val="008876C5"/>
    <w:rsid w:val="008A29E9"/>
    <w:rsid w:val="008B38A0"/>
    <w:rsid w:val="008C1ECE"/>
    <w:rsid w:val="008C3512"/>
    <w:rsid w:val="008C57E5"/>
    <w:rsid w:val="008E3C04"/>
    <w:rsid w:val="009114B1"/>
    <w:rsid w:val="00917131"/>
    <w:rsid w:val="009270FB"/>
    <w:rsid w:val="00980AAB"/>
    <w:rsid w:val="0098354B"/>
    <w:rsid w:val="009927F5"/>
    <w:rsid w:val="00995B33"/>
    <w:rsid w:val="00996185"/>
    <w:rsid w:val="009A636E"/>
    <w:rsid w:val="009D4952"/>
    <w:rsid w:val="009E549B"/>
    <w:rsid w:val="009F0A37"/>
    <w:rsid w:val="009F3F1B"/>
    <w:rsid w:val="009F532F"/>
    <w:rsid w:val="00A02267"/>
    <w:rsid w:val="00A02E2E"/>
    <w:rsid w:val="00A179AA"/>
    <w:rsid w:val="00A20DCE"/>
    <w:rsid w:val="00A24A4C"/>
    <w:rsid w:val="00A26C8A"/>
    <w:rsid w:val="00A30E90"/>
    <w:rsid w:val="00A335C7"/>
    <w:rsid w:val="00A34225"/>
    <w:rsid w:val="00A42451"/>
    <w:rsid w:val="00A51265"/>
    <w:rsid w:val="00A57622"/>
    <w:rsid w:val="00A616C7"/>
    <w:rsid w:val="00A66726"/>
    <w:rsid w:val="00A73132"/>
    <w:rsid w:val="00A87597"/>
    <w:rsid w:val="00A93282"/>
    <w:rsid w:val="00A972C8"/>
    <w:rsid w:val="00AA0A42"/>
    <w:rsid w:val="00AA5507"/>
    <w:rsid w:val="00AC12E5"/>
    <w:rsid w:val="00AC19D7"/>
    <w:rsid w:val="00AD38E5"/>
    <w:rsid w:val="00AE5EFF"/>
    <w:rsid w:val="00AE7C28"/>
    <w:rsid w:val="00AF7A7B"/>
    <w:rsid w:val="00B02294"/>
    <w:rsid w:val="00B06C72"/>
    <w:rsid w:val="00B11637"/>
    <w:rsid w:val="00B122BE"/>
    <w:rsid w:val="00B12D76"/>
    <w:rsid w:val="00B14A0E"/>
    <w:rsid w:val="00B153D0"/>
    <w:rsid w:val="00B42370"/>
    <w:rsid w:val="00B439AD"/>
    <w:rsid w:val="00B47C20"/>
    <w:rsid w:val="00B52E81"/>
    <w:rsid w:val="00B560C0"/>
    <w:rsid w:val="00B6391A"/>
    <w:rsid w:val="00B6620A"/>
    <w:rsid w:val="00B674D4"/>
    <w:rsid w:val="00B739FF"/>
    <w:rsid w:val="00B9346F"/>
    <w:rsid w:val="00BB7AAF"/>
    <w:rsid w:val="00BC174B"/>
    <w:rsid w:val="00BC2982"/>
    <w:rsid w:val="00BC5564"/>
    <w:rsid w:val="00BD0EE5"/>
    <w:rsid w:val="00BE1ACE"/>
    <w:rsid w:val="00BE5F95"/>
    <w:rsid w:val="00BF5751"/>
    <w:rsid w:val="00C03AB5"/>
    <w:rsid w:val="00C04C0C"/>
    <w:rsid w:val="00C30D9F"/>
    <w:rsid w:val="00C369EC"/>
    <w:rsid w:val="00C430F5"/>
    <w:rsid w:val="00C71A38"/>
    <w:rsid w:val="00C7657A"/>
    <w:rsid w:val="00C76D8E"/>
    <w:rsid w:val="00C80238"/>
    <w:rsid w:val="00CA3245"/>
    <w:rsid w:val="00CB6CC5"/>
    <w:rsid w:val="00CC142C"/>
    <w:rsid w:val="00CC5E74"/>
    <w:rsid w:val="00CD34C0"/>
    <w:rsid w:val="00CD6FC4"/>
    <w:rsid w:val="00CD7B39"/>
    <w:rsid w:val="00CE10B9"/>
    <w:rsid w:val="00CE615C"/>
    <w:rsid w:val="00CF3D51"/>
    <w:rsid w:val="00CF6DB3"/>
    <w:rsid w:val="00CF7AA6"/>
    <w:rsid w:val="00D077D1"/>
    <w:rsid w:val="00D21234"/>
    <w:rsid w:val="00D23350"/>
    <w:rsid w:val="00D3141E"/>
    <w:rsid w:val="00D31826"/>
    <w:rsid w:val="00D651C9"/>
    <w:rsid w:val="00D87952"/>
    <w:rsid w:val="00DB6ECE"/>
    <w:rsid w:val="00DC4086"/>
    <w:rsid w:val="00DC40C5"/>
    <w:rsid w:val="00DC79C3"/>
    <w:rsid w:val="00DF0D5D"/>
    <w:rsid w:val="00DF1208"/>
    <w:rsid w:val="00DF4A58"/>
    <w:rsid w:val="00E27A34"/>
    <w:rsid w:val="00E315E0"/>
    <w:rsid w:val="00E33916"/>
    <w:rsid w:val="00E45BBB"/>
    <w:rsid w:val="00E726B1"/>
    <w:rsid w:val="00E83ADD"/>
    <w:rsid w:val="00E84981"/>
    <w:rsid w:val="00E9374C"/>
    <w:rsid w:val="00E94093"/>
    <w:rsid w:val="00E946A0"/>
    <w:rsid w:val="00EA402A"/>
    <w:rsid w:val="00EC2F97"/>
    <w:rsid w:val="00EC70B6"/>
    <w:rsid w:val="00EE568F"/>
    <w:rsid w:val="00EF10D6"/>
    <w:rsid w:val="00F04A89"/>
    <w:rsid w:val="00F61AD4"/>
    <w:rsid w:val="00F66C4B"/>
    <w:rsid w:val="00F753E1"/>
    <w:rsid w:val="00F77EC6"/>
    <w:rsid w:val="00F90647"/>
    <w:rsid w:val="00F9353C"/>
    <w:rsid w:val="00F948AE"/>
    <w:rsid w:val="00FA0C07"/>
    <w:rsid w:val="00FA0D18"/>
    <w:rsid w:val="00FA5525"/>
    <w:rsid w:val="00FB6152"/>
    <w:rsid w:val="00FD6B11"/>
    <w:rsid w:val="00FE4978"/>
    <w:rsid w:val="00FF3120"/>
    <w:rsid w:val="24E9569E"/>
    <w:rsid w:val="3C114CE7"/>
    <w:rsid w:val="7C9206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14B"/>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1114B"/>
    <w:rPr>
      <w:rFonts w:ascii="宋体" w:hAnsi="Courier New"/>
      <w:szCs w:val="20"/>
    </w:rPr>
  </w:style>
  <w:style w:type="character" w:customStyle="1" w:styleId="PlainTextChar">
    <w:name w:val="Plain Text Char"/>
    <w:basedOn w:val="DefaultParagraphFont"/>
    <w:link w:val="PlainText"/>
    <w:uiPriority w:val="99"/>
    <w:locked/>
    <w:rsid w:val="0061114B"/>
    <w:rPr>
      <w:rFonts w:ascii="宋体" w:eastAsia="宋体" w:hAnsi="Courier New" w:cs="Times New Roman"/>
      <w:sz w:val="20"/>
      <w:szCs w:val="20"/>
    </w:rPr>
  </w:style>
  <w:style w:type="paragraph" w:styleId="Date">
    <w:name w:val="Date"/>
    <w:basedOn w:val="Normal"/>
    <w:next w:val="Normal"/>
    <w:link w:val="DateChar"/>
    <w:uiPriority w:val="99"/>
    <w:rsid w:val="0061114B"/>
    <w:pPr>
      <w:ind w:leftChars="2500" w:left="100"/>
    </w:pPr>
  </w:style>
  <w:style w:type="character" w:customStyle="1" w:styleId="DateChar">
    <w:name w:val="Date Char"/>
    <w:basedOn w:val="DefaultParagraphFont"/>
    <w:link w:val="Date"/>
    <w:uiPriority w:val="99"/>
    <w:semiHidden/>
    <w:locked/>
    <w:rsid w:val="0061114B"/>
    <w:rPr>
      <w:rFonts w:cs="Times New Roman"/>
    </w:rPr>
  </w:style>
  <w:style w:type="paragraph" w:styleId="BalloonText">
    <w:name w:val="Balloon Text"/>
    <w:basedOn w:val="Normal"/>
    <w:link w:val="BalloonTextChar"/>
    <w:uiPriority w:val="99"/>
    <w:rsid w:val="0061114B"/>
    <w:rPr>
      <w:sz w:val="18"/>
      <w:szCs w:val="18"/>
    </w:rPr>
  </w:style>
  <w:style w:type="character" w:customStyle="1" w:styleId="BalloonTextChar">
    <w:name w:val="Balloon Text Char"/>
    <w:basedOn w:val="DefaultParagraphFont"/>
    <w:link w:val="BalloonText"/>
    <w:uiPriority w:val="99"/>
    <w:semiHidden/>
    <w:locked/>
    <w:rsid w:val="0061114B"/>
    <w:rPr>
      <w:rFonts w:cs="Times New Roman"/>
      <w:sz w:val="18"/>
      <w:szCs w:val="18"/>
    </w:rPr>
  </w:style>
  <w:style w:type="paragraph" w:styleId="Footer">
    <w:name w:val="footer"/>
    <w:basedOn w:val="Normal"/>
    <w:link w:val="FooterChar"/>
    <w:uiPriority w:val="99"/>
    <w:rsid w:val="0061114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1114B"/>
    <w:rPr>
      <w:rFonts w:cs="Times New Roman"/>
      <w:sz w:val="18"/>
      <w:szCs w:val="18"/>
    </w:rPr>
  </w:style>
  <w:style w:type="paragraph" w:styleId="Header">
    <w:name w:val="header"/>
    <w:basedOn w:val="Normal"/>
    <w:link w:val="HeaderChar"/>
    <w:uiPriority w:val="99"/>
    <w:rsid w:val="0061114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1114B"/>
    <w:rPr>
      <w:rFonts w:cs="Times New Roman"/>
      <w:sz w:val="18"/>
      <w:szCs w:val="18"/>
    </w:rPr>
  </w:style>
  <w:style w:type="character" w:styleId="Hyperlink">
    <w:name w:val="Hyperlink"/>
    <w:basedOn w:val="DefaultParagraphFont"/>
    <w:uiPriority w:val="99"/>
    <w:rsid w:val="0061114B"/>
    <w:rPr>
      <w:rFonts w:cs="Times New Roman"/>
      <w:color w:val="0000FF"/>
      <w:u w:val="single"/>
    </w:rPr>
  </w:style>
  <w:style w:type="paragraph" w:customStyle="1" w:styleId="1">
    <w:name w:val="列出段落1"/>
    <w:basedOn w:val="Normal"/>
    <w:uiPriority w:val="99"/>
    <w:rsid w:val="0061114B"/>
    <w:pPr>
      <w:ind w:firstLineChars="200" w:firstLine="420"/>
    </w:pPr>
  </w:style>
</w:styles>
</file>

<file path=word/webSettings.xml><?xml version="1.0" encoding="utf-8"?>
<w:webSettings xmlns:r="http://schemas.openxmlformats.org/officeDocument/2006/relationships" xmlns:w="http://schemas.openxmlformats.org/wordprocessingml/2006/main">
  <w:divs>
    <w:div w:id="1833253206">
      <w:marLeft w:val="0"/>
      <w:marRight w:val="0"/>
      <w:marTop w:val="0"/>
      <w:marBottom w:val="0"/>
      <w:divBdr>
        <w:top w:val="none" w:sz="0" w:space="0" w:color="auto"/>
        <w:left w:val="none" w:sz="0" w:space="0" w:color="auto"/>
        <w:bottom w:val="none" w:sz="0" w:space="0" w:color="auto"/>
        <w:right w:val="none" w:sz="0" w:space="0" w:color="auto"/>
      </w:divBdr>
      <w:divsChild>
        <w:div w:id="183325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me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1121</Words>
  <Characters>1134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关于设立有色金属行业</dc:title>
  <dc:subject/>
  <dc:creator>liujiuqing</dc:creator>
  <cp:keywords/>
  <dc:description/>
  <cp:lastModifiedBy>walkinnet</cp:lastModifiedBy>
  <cp:revision>2</cp:revision>
  <cp:lastPrinted>2015-10-26T05:27:00Z</cp:lastPrinted>
  <dcterms:created xsi:type="dcterms:W3CDTF">2015-10-26T05:28:00Z</dcterms:created>
  <dcterms:modified xsi:type="dcterms:W3CDTF">2015-10-26T05:28:00Z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