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9" w:afterLines="100" w:line="480" w:lineRule="exact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黑体" w:eastAsia="黑体"/>
          <w:bCs/>
          <w:color w:val="000000"/>
          <w:sz w:val="30"/>
          <w:szCs w:val="30"/>
        </w:rPr>
        <w:t>表</w:t>
      </w:r>
      <w:r>
        <w:rPr>
          <w:rFonts w:ascii="Times New Roman" w:hAnsi="Times New Roman" w:eastAsia="黑体"/>
          <w:bCs/>
          <w:color w:val="000000"/>
          <w:sz w:val="30"/>
          <w:szCs w:val="30"/>
        </w:rPr>
        <w:t xml:space="preserve">1  </w:t>
      </w:r>
      <w:r>
        <w:rPr>
          <w:rFonts w:ascii="Times New Roman" w:hAnsi="黑体" w:eastAsia="黑体"/>
          <w:bCs/>
          <w:color w:val="000000"/>
          <w:sz w:val="30"/>
          <w:szCs w:val="30"/>
        </w:rPr>
        <w:t>贵州省</w:t>
      </w:r>
      <w:r>
        <w:rPr>
          <w:rFonts w:ascii="Times New Roman" w:hAnsi="Times New Roman" w:eastAsia="黑体"/>
          <w:bCs/>
          <w:color w:val="000000"/>
          <w:sz w:val="30"/>
          <w:szCs w:val="30"/>
        </w:rPr>
        <w:t>22</w:t>
      </w:r>
      <w:r>
        <w:rPr>
          <w:rFonts w:ascii="Times New Roman" w:hAnsi="黑体" w:eastAsia="黑体"/>
          <w:bCs/>
          <w:color w:val="000000"/>
          <w:sz w:val="30"/>
          <w:szCs w:val="30"/>
        </w:rPr>
        <w:t>个县义务教育学校办学基本标准达标情况表</w:t>
      </w:r>
    </w:p>
    <w:tbl>
      <w:tblPr>
        <w:tblStyle w:val="6"/>
        <w:tblW w:w="143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72"/>
        <w:gridCol w:w="876"/>
        <w:gridCol w:w="683"/>
        <w:gridCol w:w="1269"/>
        <w:gridCol w:w="967"/>
        <w:gridCol w:w="1159"/>
        <w:gridCol w:w="1134"/>
        <w:gridCol w:w="850"/>
        <w:gridCol w:w="993"/>
        <w:gridCol w:w="1417"/>
        <w:gridCol w:w="851"/>
        <w:gridCol w:w="99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学校类型</w:t>
            </w:r>
          </w:p>
        </w:tc>
        <w:tc>
          <w:tcPr>
            <w:tcW w:w="126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生均校舍建筑面积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生均体育活动场面积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寄宿生人均宿舍面积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教学实验仪器配置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班班通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设施配置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班额</w:t>
            </w:r>
          </w:p>
        </w:tc>
        <w:tc>
          <w:tcPr>
            <w:tcW w:w="70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L1</w:t>
            </w:r>
          </w:p>
        </w:tc>
        <w:tc>
          <w:tcPr>
            <w:tcW w:w="115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L2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L3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L4</w:t>
            </w:r>
          </w:p>
        </w:tc>
        <w:tc>
          <w:tcPr>
            <w:tcW w:w="9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L5</w:t>
            </w: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L6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L7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L8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L9</w:t>
            </w:r>
          </w:p>
        </w:tc>
        <w:tc>
          <w:tcPr>
            <w:tcW w:w="708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六盘水市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盘州市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5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9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汇川区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红花岗区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2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赤水市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桐梓县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湄潭县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/>
                <w:sz w:val="18"/>
                <w:szCs w:val="18"/>
              </w:rPr>
              <w:t>务川仡佬族苗族自治县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安顺市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平坝区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安顺市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普定县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毕节市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大方县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碧江区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铜仁市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/>
                <w:sz w:val="18"/>
                <w:szCs w:val="18"/>
              </w:rPr>
              <w:t>印江土家族苗族自治县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黔西南布依族苗族自治州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普安县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黔东南苗族侗族自治州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黄平县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黔东南布依族苗族自治州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三穗县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黔东南苗族侗族自治州</w:t>
            </w:r>
          </w:p>
        </w:tc>
        <w:tc>
          <w:tcPr>
            <w:tcW w:w="876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台江县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黔东南苗族侗族自治州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雷山县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黔南布依族苗族自治州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都匀市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黔南布依族苗族自治州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瓮安县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黔南布依族苗族自治州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长顺县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2EAF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黔南布依族苗族自治州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龙里县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黔南布依族苗族自治州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惠水县</w:t>
            </w: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达标学校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>
      <w:pPr>
        <w:adjustRightInd w:val="0"/>
        <w:snapToGrid w:val="0"/>
        <w:spacing w:line="600" w:lineRule="exact"/>
        <w:ind w:firstLine="420" w:firstLineChars="200"/>
        <w:rPr>
          <w:rFonts w:ascii="Times New Roman" w:hAnsi="Times New Roman"/>
          <w:bCs/>
          <w:color w:val="000000"/>
          <w:szCs w:val="21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/>
          <w:bCs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A0C77"/>
    <w:rsid w:val="712A0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2018-01-05T01:01:00Z</dcterms:created>
  <dc:creator>dell</dc:creator>
  <cp:lastModifiedBy>dell</cp:lastModifiedBy>
  <dcterms:modified xsi:type="dcterms:W3CDTF">2018-01-05T01:03:21Z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