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职业教育专业教学资源库升级改进项目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2016年度教育部本级专项资金预算安排</w:t>
      </w:r>
    </w:p>
    <w:p>
      <w:pPr>
        <w:snapToGrid w:val="0"/>
        <w:spacing w:after="156" w:afterLines="50" w:line="288" w:lineRule="auto"/>
        <w:jc w:val="center"/>
        <w:rPr>
          <w:rFonts w:eastAsia="楷体"/>
          <w:sz w:val="28"/>
          <w:szCs w:val="36"/>
        </w:rPr>
      </w:pPr>
      <w:r>
        <w:rPr>
          <w:rFonts w:eastAsia="楷体"/>
          <w:sz w:val="28"/>
          <w:szCs w:val="36"/>
        </w:rPr>
        <w:t>（项目分送）</w:t>
      </w:r>
    </w:p>
    <w:tbl>
      <w:tblPr>
        <w:tblStyle w:val="5"/>
        <w:tblW w:w="84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731"/>
        <w:gridCol w:w="1417"/>
        <w:gridCol w:w="3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2010-08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高等职业教育会计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专业教学资源库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0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项目主持单位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山西财政税务专科学校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山东商业职业技术学院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部本级专项资金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预算安排（万元）</w:t>
            </w:r>
          </w:p>
        </w:tc>
        <w:tc>
          <w:tcPr>
            <w:tcW w:w="21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329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其中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329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40</w:t>
            </w: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职业教育专业教学资源库升级改进项目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2016年度教育部本级专项资金预算安排</w:t>
      </w:r>
    </w:p>
    <w:p>
      <w:pPr>
        <w:snapToGrid w:val="0"/>
        <w:spacing w:after="156" w:afterLines="50" w:line="288" w:lineRule="auto"/>
        <w:jc w:val="center"/>
        <w:rPr>
          <w:rFonts w:eastAsia="楷体"/>
          <w:sz w:val="28"/>
          <w:szCs w:val="36"/>
        </w:rPr>
      </w:pPr>
      <w:r>
        <w:rPr>
          <w:rFonts w:eastAsia="楷体"/>
          <w:sz w:val="28"/>
          <w:szCs w:val="36"/>
        </w:rPr>
        <w:t>（项目分送）</w:t>
      </w:r>
    </w:p>
    <w:tbl>
      <w:tblPr>
        <w:tblStyle w:val="5"/>
        <w:tblW w:w="84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771"/>
        <w:gridCol w:w="1254"/>
        <w:gridCol w:w="33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2012-2-8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高等职业教育酒店管理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专业教学资源库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项目主持单位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部本级专项资金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预算安排（万元）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176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其中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2017年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36</w:t>
            </w: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职业教育专业教学资源库升级改进项目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2016年度教育部本级专项资金预算安排</w:t>
      </w:r>
    </w:p>
    <w:p>
      <w:pPr>
        <w:snapToGrid w:val="0"/>
        <w:spacing w:after="156" w:afterLines="50" w:line="288" w:lineRule="auto"/>
        <w:jc w:val="center"/>
        <w:rPr>
          <w:rFonts w:eastAsia="楷体"/>
          <w:sz w:val="28"/>
          <w:szCs w:val="36"/>
        </w:rPr>
      </w:pPr>
      <w:r>
        <w:rPr>
          <w:rFonts w:eastAsia="楷体"/>
          <w:sz w:val="28"/>
          <w:szCs w:val="36"/>
        </w:rPr>
        <w:t>（项目分送）</w:t>
      </w:r>
    </w:p>
    <w:tbl>
      <w:tblPr>
        <w:tblStyle w:val="5"/>
        <w:tblW w:w="84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771"/>
        <w:gridCol w:w="1254"/>
        <w:gridCol w:w="33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2011-1-4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高等职业教育软件技术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专业教学资源库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项目主持单位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常州信息职业技术学院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部本级专项资金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预算安排（万元）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其中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2016年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2017年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20</w:t>
            </w: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职业教育专业教学资源库升级改进项目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2016年度教育部本级专项资金预算安排</w:t>
      </w:r>
    </w:p>
    <w:p>
      <w:pPr>
        <w:snapToGrid w:val="0"/>
        <w:spacing w:after="156" w:afterLines="50" w:line="288" w:lineRule="auto"/>
        <w:jc w:val="center"/>
        <w:rPr>
          <w:rFonts w:eastAsia="楷体"/>
          <w:sz w:val="28"/>
          <w:szCs w:val="36"/>
        </w:rPr>
      </w:pPr>
      <w:r>
        <w:rPr>
          <w:rFonts w:eastAsia="楷体"/>
          <w:sz w:val="28"/>
          <w:szCs w:val="36"/>
        </w:rPr>
        <w:t>（项目分送）</w:t>
      </w:r>
    </w:p>
    <w:tbl>
      <w:tblPr>
        <w:tblStyle w:val="5"/>
        <w:tblW w:w="84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771"/>
        <w:gridCol w:w="1254"/>
        <w:gridCol w:w="33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2010-2-6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高等职业教育金融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专业教学资源库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项目主持单位</w:t>
            </w:r>
          </w:p>
        </w:tc>
        <w:tc>
          <w:tcPr>
            <w:tcW w:w="5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浙江金融职业学院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部本级专项资金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预算安排（万元）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其中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2016年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2017年</w:t>
            </w:r>
          </w:p>
        </w:tc>
        <w:tc>
          <w:tcPr>
            <w:tcW w:w="33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20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44F05"/>
    <w:rsid w:val="20F44F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  <w:style w:type="paragraph" w:customStyle="1" w:styleId="6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2016-12-05T08:11:00Z</dcterms:created>
  <dc:creator>dell</dc:creator>
  <cp:lastModifiedBy>dell</cp:lastModifiedBy>
  <dcterms:modified xsi:type="dcterms:W3CDTF">2016-12-05T08:17:32Z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