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附件3</w:t>
      </w:r>
    </w:p>
    <w:p>
      <w:pPr>
        <w:snapToGrid w:val="0"/>
        <w:spacing w:line="500" w:lineRule="exact"/>
        <w:jc w:val="center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职业教育专业教学资源库2016年度升级改进</w:t>
      </w:r>
    </w:p>
    <w:p>
      <w:pPr>
        <w:snapToGrid w:val="0"/>
        <w:spacing w:line="500" w:lineRule="exact"/>
        <w:jc w:val="center"/>
        <w:rPr>
          <w:rFonts w:eastAsia="黑体"/>
          <w:sz w:val="20"/>
          <w:szCs w:val="30"/>
        </w:rPr>
      </w:pPr>
      <w:r>
        <w:rPr>
          <w:rFonts w:eastAsia="黑体"/>
          <w:sz w:val="32"/>
          <w:szCs w:val="30"/>
        </w:rPr>
        <w:t>项目支出绩效目标</w:t>
      </w:r>
    </w:p>
    <w:p>
      <w:pPr>
        <w:snapToGrid w:val="0"/>
        <w:spacing w:after="156" w:afterLines="50" w:line="288" w:lineRule="auto"/>
        <w:jc w:val="center"/>
        <w:rPr>
          <w:rFonts w:eastAsia="黑体"/>
          <w:sz w:val="20"/>
          <w:szCs w:val="30"/>
        </w:rPr>
      </w:pPr>
      <w:r>
        <w:rPr>
          <w:rFonts w:eastAsia="楷体"/>
          <w:sz w:val="28"/>
          <w:szCs w:val="36"/>
        </w:rPr>
        <w:t>（项目分送）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4252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bCs/>
                <w:sz w:val="24"/>
              </w:rPr>
              <w:t>高等职业教育会计专业教学资源库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总体目标</w:t>
            </w: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ind w:firstLine="420" w:firstLineChars="20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根据会计职业调研结果，建立会计专业知识技能树，并以此为依据全面升级改进会计资源库资源，修订课程体系与课程教学内容，建设专业级、课程级、素材级三级教学资源，提供资源规范化、知识点技能点结构化的专业核心课程，建成具有普适性的，使用面广、资源丰富、持续更新的会计专业资源库，全面完成建设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绩效指标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一级指标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二级指标</w:t>
            </w:r>
          </w:p>
        </w:tc>
        <w:tc>
          <w:tcPr>
            <w:tcW w:w="42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黑体"/>
                <w:sz w:val="22"/>
              </w:rPr>
              <w:t>三级指标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产出指标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数量指标</w:t>
            </w:r>
          </w:p>
        </w:tc>
        <w:tc>
          <w:tcPr>
            <w:tcW w:w="42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用户数（人）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&gt;22000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颗粒化资源量（个）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&gt;8034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题库题目数量（道）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&gt;4800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职业资格考试题库（套）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&gt;42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会计技能竞赛题库（套）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&gt;10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核心课程门数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服务职业资格考试课程数（个）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带动学校数（所）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&gt;100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推广院校数（所）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&gt;100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推广院校覆盖省（直辖市）（个）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培养骨干教师（人次/年）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&gt;300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资源子库（个）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登录总次数（万次）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质量指标</w:t>
            </w:r>
          </w:p>
        </w:tc>
        <w:tc>
          <w:tcPr>
            <w:tcW w:w="42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活跃资源占比（%）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≈70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活跃用户占比（%）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≈70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时效指标</w:t>
            </w:r>
          </w:p>
        </w:tc>
        <w:tc>
          <w:tcPr>
            <w:tcW w:w="42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建设任务完成及时率(%)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建设任务完成实际比率（%）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成本指标</w:t>
            </w:r>
          </w:p>
        </w:tc>
        <w:tc>
          <w:tcPr>
            <w:tcW w:w="42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项目总投入（万元）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咨询、调研论证费占比（%）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≤10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其他支出占比（%）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≤8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效益指标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pacing w:val="2"/>
                <w:w w:val="91"/>
                <w:kern w:val="0"/>
                <w:szCs w:val="21"/>
                <w:fitText w:val="1155" w:id="0"/>
              </w:rPr>
              <w:t>经</w:t>
            </w:r>
            <w:r>
              <w:rPr>
                <w:rFonts w:eastAsia="仿宋_GB2312"/>
                <w:w w:val="91"/>
                <w:kern w:val="0"/>
                <w:szCs w:val="21"/>
                <w:fitText w:val="1155" w:id="0"/>
              </w:rPr>
              <w:t>济效益指标</w:t>
            </w:r>
          </w:p>
        </w:tc>
        <w:tc>
          <w:tcPr>
            <w:tcW w:w="42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资源库教材发行净码洋（万元）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&gt;200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社会效益指标</w:t>
            </w:r>
          </w:p>
        </w:tc>
        <w:tc>
          <w:tcPr>
            <w:tcW w:w="42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社会学习用户数（人）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&gt;2000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行业企业用户（个）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&gt;50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可持续影响指标</w:t>
            </w:r>
          </w:p>
        </w:tc>
        <w:tc>
          <w:tcPr>
            <w:tcW w:w="42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可持续影响时间（年）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≥</w:t>
            </w:r>
            <w:r>
              <w:rPr>
                <w:rFonts w:eastAsia="仿宋_GB2312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验收后每年资源更新率（%）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满意度指标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服务对象满意度指标</w:t>
            </w:r>
          </w:p>
        </w:tc>
        <w:tc>
          <w:tcPr>
            <w:tcW w:w="42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在校生使用满意度（%）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社会学习者使用满意度（%）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≥80</w:t>
            </w:r>
          </w:p>
        </w:tc>
      </w:tr>
    </w:tbl>
    <w:p>
      <w:pPr>
        <w:spacing w:line="240" w:lineRule="atLeast"/>
      </w:pPr>
    </w:p>
    <w:p>
      <w:pPr>
        <w:snapToGrid w:val="0"/>
        <w:spacing w:line="50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附件3</w:t>
      </w:r>
    </w:p>
    <w:p>
      <w:pPr>
        <w:snapToGrid w:val="0"/>
        <w:spacing w:line="500" w:lineRule="exact"/>
        <w:jc w:val="center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职业教育专业教学资源库2016年度升级改进</w:t>
      </w:r>
    </w:p>
    <w:p>
      <w:pPr>
        <w:snapToGrid w:val="0"/>
        <w:spacing w:line="500" w:lineRule="exact"/>
        <w:jc w:val="center"/>
        <w:rPr>
          <w:rFonts w:eastAsia="黑体"/>
          <w:sz w:val="20"/>
          <w:szCs w:val="30"/>
        </w:rPr>
      </w:pPr>
      <w:r>
        <w:rPr>
          <w:rFonts w:eastAsia="黑体"/>
          <w:sz w:val="32"/>
          <w:szCs w:val="30"/>
        </w:rPr>
        <w:t>项目支出绩效目标</w:t>
      </w:r>
    </w:p>
    <w:p>
      <w:pPr>
        <w:snapToGrid w:val="0"/>
        <w:spacing w:after="156" w:afterLines="50" w:line="288" w:lineRule="auto"/>
        <w:jc w:val="center"/>
      </w:pPr>
      <w:r>
        <w:rPr>
          <w:rFonts w:eastAsia="楷体"/>
          <w:sz w:val="28"/>
          <w:szCs w:val="36"/>
        </w:rPr>
        <w:t>（项目分送）</w:t>
      </w:r>
    </w:p>
    <w:tbl>
      <w:tblPr>
        <w:tblStyle w:val="5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4678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高等职业教育酒店管理专业教学资源库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12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黑体"/>
                <w:sz w:val="18"/>
                <w:szCs w:val="21"/>
              </w:rPr>
            </w:pPr>
            <w:r>
              <w:rPr>
                <w:rFonts w:eastAsia="仿宋_GB2312"/>
                <w:bCs/>
              </w:rPr>
              <w:t>总体目标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ind w:firstLine="420" w:firstLineChars="200"/>
              <w:rPr>
                <w:rFonts w:eastAsia="黑体"/>
                <w:sz w:val="18"/>
                <w:szCs w:val="21"/>
              </w:rPr>
            </w:pPr>
            <w:r>
              <w:rPr>
                <w:rFonts w:eastAsia="仿宋"/>
                <w:szCs w:val="21"/>
              </w:rPr>
              <w:t>酒店管理专业资源库升级提升支持项目按照“便捷、成效、促用”原则进行资源补充、更新和完善，提升资源库品质；补充和拓展内容，满足接续培养需要和国际化人才培养需要；建设在线开放课程，满足混合教学和个性化学习需要；升级平台，强化资源库推广和持续更新。项目遵循“能力为本、可持续发展”原则构建接续培养课程和国际化教学模块；遵循“校企合作、职业精神引领”路径开发职业体验和职业操守课程模块；以“游客体验为本”开发“农家乐”培训模块；“就业指导为先”提升“校企直通车”模块。升级改进建成后，该项目具备导学（导用）功能，能够进行线上线下学习管理与服务。颗粒化资源量和用户数均≥5000，社会学习用户数≥1500，活跃资源和活跃用户占比均≥50%，资源共享比例≥80%，平均使用满意度≥80%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88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绩效指标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一级指标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二级指标</w:t>
            </w: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szCs w:val="21"/>
              </w:rPr>
              <w:t>三级指标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产出指标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数量指标</w:t>
            </w: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用户数（人）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≥5000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颗粒化资源量（个）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≥5000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核心课程门数（门）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推广院校数（个）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≥15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质量指标</w:t>
            </w: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活跃资源占比（%）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≥50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活跃用户占比（%）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≥50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时效指标</w:t>
            </w: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建设任务完成及时率(%)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建设任务实际完成率（%）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素材制作完成率（%）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案例分析完成率（%）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资源链接的可靠有效比率（%）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成本指标</w:t>
            </w: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项目总投入（万）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咨询调研论证费用占比（%）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≤10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其他支出占比（%）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≤8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接受培训指导学校和企业数（个）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≥50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指导用户使用资源的小时数（小时）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≥200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效益指标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经济效益指标</w:t>
            </w: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资源共享比例（%）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≥80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资源创造性比例（%）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≥20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社会效益指标</w:t>
            </w: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社会学习用户数（人）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≥1500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每年社会企业接受培训人数次（次）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≥1000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可持续影响</w:t>
            </w: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可持续影响时间（年）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≥10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验收后每年资源更新率（%）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≥10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满意度指标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服务对象满意度指标</w:t>
            </w: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在校生使用满意度（%）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≥85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社会学习者使用满意度（%）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≥80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教师使用满意度（%）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≥80</w:t>
            </w:r>
          </w:p>
        </w:tc>
      </w:tr>
    </w:tbl>
    <w:p>
      <w:pPr>
        <w:snapToGrid w:val="0"/>
        <w:spacing w:line="50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附件3</w:t>
      </w:r>
    </w:p>
    <w:p>
      <w:pPr>
        <w:snapToGrid w:val="0"/>
        <w:spacing w:line="500" w:lineRule="exact"/>
        <w:jc w:val="center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职业教育专业教学资源库2016年度升级改进</w:t>
      </w:r>
    </w:p>
    <w:p>
      <w:pPr>
        <w:snapToGrid w:val="0"/>
        <w:spacing w:line="500" w:lineRule="exact"/>
        <w:jc w:val="center"/>
        <w:rPr>
          <w:rFonts w:eastAsia="黑体"/>
          <w:sz w:val="20"/>
          <w:szCs w:val="30"/>
        </w:rPr>
      </w:pPr>
      <w:r>
        <w:rPr>
          <w:rFonts w:eastAsia="黑体"/>
          <w:sz w:val="32"/>
          <w:szCs w:val="30"/>
        </w:rPr>
        <w:t>项目支出绩效目标</w:t>
      </w:r>
    </w:p>
    <w:p>
      <w:pPr>
        <w:snapToGrid w:val="0"/>
        <w:spacing w:after="156" w:afterLines="50" w:line="288" w:lineRule="auto"/>
        <w:jc w:val="center"/>
        <w:rPr>
          <w:rFonts w:eastAsia="黑体"/>
          <w:sz w:val="20"/>
          <w:szCs w:val="30"/>
        </w:rPr>
      </w:pPr>
      <w:r>
        <w:rPr>
          <w:rFonts w:eastAsia="楷体"/>
          <w:sz w:val="28"/>
          <w:szCs w:val="36"/>
        </w:rPr>
        <w:t>（项目分送）</w:t>
      </w:r>
    </w:p>
    <w:tbl>
      <w:tblPr>
        <w:tblStyle w:val="5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4678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高等职业教育软件技术专业教学资源库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2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黑体"/>
                <w:sz w:val="18"/>
                <w:szCs w:val="21"/>
              </w:rPr>
            </w:pPr>
            <w:r>
              <w:rPr>
                <w:rFonts w:eastAsia="仿宋_GB2312"/>
                <w:bCs/>
              </w:rPr>
              <w:t>总体目标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pStyle w:val="6"/>
              <w:snapToGrid w:val="0"/>
              <w:spacing w:line="240" w:lineRule="atLeast"/>
              <w:rPr>
                <w:rFonts w:eastAsia="黑体"/>
                <w:szCs w:val="21"/>
              </w:rPr>
            </w:pPr>
            <w:r>
              <w:rPr>
                <w:rFonts w:eastAsia="仿宋"/>
                <w:szCs w:val="21"/>
              </w:rPr>
              <w:t>以培养软件开发、设计与应用专门化人才为宗旨，以行业企业需求为导向，在资源功能上，满足教师、学生、企业及社会学习者不同层次的学习需求；在资源内容上</w:t>
            </w:r>
            <w:r>
              <w:rPr>
                <w:rFonts w:eastAsia="仿宋"/>
                <w:szCs w:val="21"/>
                <w:lang w:eastAsia="zh-CN"/>
              </w:rPr>
              <w:t>，</w:t>
            </w:r>
            <w:r>
              <w:rPr>
                <w:rFonts w:eastAsia="仿宋"/>
                <w:szCs w:val="21"/>
              </w:rPr>
              <w:t>采用标准框架，实现资源的持续更新；在资源运营上，采用开放式维护，实现动态运营；在学习模式上，体现智能个性，达到自主互动。最终成为信息资源丰富、管理手段先进、运行机制优良，开放、共享、智能、动态的优质教学资源库，成为自主学习的平台、企业宣传的窗口、社会培训的园地、技术交流的社区、供需互通的桥梁。通过软件技术资源库建设，带动全国高职院校软件技术专业建设和教学改革，提高软件技术专业人才培养质量，提升高职院校的社会服务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88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绩效指标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一级指标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二级指标</w:t>
            </w: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szCs w:val="21"/>
              </w:rPr>
              <w:t>三级指标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产出指标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数量指标</w:t>
            </w: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核心课程的慕课化升级、改造（门）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新增“移动软件开发”、“大数据分析功能方向”专业课程（门）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新建专业基础课程（门）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新增企业综合案例（个）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新增课程案例（个）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升级改造培训包（个）(</w:t>
            </w:r>
            <w:r>
              <w:rPr>
                <w:rFonts w:eastAsia="仿宋"/>
                <w:szCs w:val="21"/>
              </w:rPr>
              <w:t>MTA认证考试的核心能力涵盖80%信息专业知识与20%的技能)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课程资源总数（项）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≥5131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用户数（人）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≥30000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质量指标</w:t>
            </w: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活跃资源占比（%）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≥38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活跃用户占比（%）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≥42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时效指标</w:t>
            </w: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建设任务完成及时率(%)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建设任务实际完成率（%）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成本指标</w:t>
            </w: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经费总投入（万元）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咨询和调研论证费（</w:t>
            </w:r>
            <w:r>
              <w:rPr>
                <w:rFonts w:eastAsia="仿宋"/>
                <w:szCs w:val="21"/>
              </w:rPr>
              <w:t>%</w:t>
            </w:r>
            <w:r>
              <w:rPr>
                <w:rFonts w:eastAsia="仿宋"/>
                <w:color w:val="000000"/>
                <w:szCs w:val="21"/>
              </w:rPr>
              <w:t>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≤10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其他支出占比（%）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≤8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效益指标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经济效益指标</w:t>
            </w: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每年提供专业认证培训人数（人）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≥500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每年专业认证培训收入经费（元）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≥10000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社会效益指标</w:t>
            </w: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社会学习用户数（人）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≥2000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同时在线访问用户数（万人）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≥10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年用户访问量（万人次）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≥100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满意度指标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服务对象满意度指标</w:t>
            </w: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在校生使用满意度（%）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≥90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社会学习者使用满意度（%）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≥85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教师使用满意度（%）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≥90</w:t>
            </w:r>
          </w:p>
        </w:tc>
      </w:tr>
    </w:tbl>
    <w:p>
      <w:pPr>
        <w:rPr>
          <w:rFonts w:eastAsia="仿宋"/>
          <w:sz w:val="32"/>
          <w:szCs w:val="32"/>
        </w:rPr>
      </w:pPr>
      <w:r>
        <w:br w:type="page"/>
      </w:r>
      <w:r>
        <w:rPr>
          <w:rFonts w:eastAsia="仿宋"/>
          <w:sz w:val="32"/>
          <w:szCs w:val="32"/>
        </w:rPr>
        <w:t>附件3</w:t>
      </w:r>
    </w:p>
    <w:p>
      <w:pPr>
        <w:snapToGrid w:val="0"/>
        <w:spacing w:line="500" w:lineRule="exact"/>
        <w:jc w:val="center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职业教育专业教学资源库2016年度升级改进</w:t>
      </w:r>
    </w:p>
    <w:p>
      <w:pPr>
        <w:snapToGrid w:val="0"/>
        <w:spacing w:line="500" w:lineRule="exact"/>
        <w:jc w:val="center"/>
        <w:rPr>
          <w:rFonts w:eastAsia="黑体"/>
          <w:sz w:val="20"/>
          <w:szCs w:val="30"/>
        </w:rPr>
      </w:pPr>
      <w:r>
        <w:rPr>
          <w:rFonts w:eastAsia="黑体"/>
          <w:sz w:val="32"/>
          <w:szCs w:val="30"/>
        </w:rPr>
        <w:t>项目支出绩效目标</w:t>
      </w:r>
    </w:p>
    <w:p>
      <w:pPr>
        <w:snapToGrid w:val="0"/>
        <w:spacing w:after="156" w:afterLines="50" w:line="288" w:lineRule="auto"/>
        <w:jc w:val="center"/>
      </w:pPr>
      <w:r>
        <w:rPr>
          <w:rFonts w:eastAsia="楷体"/>
          <w:sz w:val="28"/>
          <w:szCs w:val="36"/>
        </w:rPr>
        <w:t>（项目分送）</w:t>
      </w:r>
    </w:p>
    <w:tbl>
      <w:tblPr>
        <w:tblStyle w:val="5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4678"/>
        <w:gridCol w:w="12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高等职业教育金融专业教学资源库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12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Cs/>
              </w:rPr>
              <w:t>总体目标</w:t>
            </w:r>
          </w:p>
        </w:tc>
        <w:tc>
          <w:tcPr>
            <w:tcW w:w="7362" w:type="dxa"/>
            <w:gridSpan w:val="3"/>
            <w:vAlign w:val="center"/>
          </w:tcPr>
          <w:p>
            <w:pPr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两年升级改进建设期内，按照一体化设计、结构化课程、颗粒化资源的建设思路，重新梳理设计10门核心课程的知识点与技能点知识树架构，并以此为中心进行微课、教学动画、教学案例、媒体素材、图片文本素材、课件等颗粒化资源的建设与更新，资源更新不低于上年的10%。新建《互联网金融》结构化课程与颗粒化全套支撑资源。开发完成互联网金融实训软件、互联网金融生产实际教学案例库。进一步扩大资源的使用范围和使用频率，注册用户数及资源利用率以不低于每年10%的速度增长。进一步优化提升资源网络平台的便捷性、智能性和高效性。研发智能化学习辅导支持系统，资源的持续更新及共享使用进入常态化有序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04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绩效指标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一级指标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二级指标</w:t>
            </w: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三级指标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产出指标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数量指标</w:t>
            </w: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用户数（人）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微软雅黑"/>
                <w:szCs w:val="21"/>
              </w:rPr>
              <w:t>≥</w:t>
            </w:r>
            <w:r>
              <w:rPr>
                <w:rFonts w:eastAsia="仿宋_GB2312"/>
                <w:szCs w:val="21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资源更新率（%）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微软雅黑"/>
                <w:szCs w:val="21"/>
              </w:rPr>
              <w:t>≥</w:t>
            </w:r>
            <w:r>
              <w:rPr>
                <w:rFonts w:eastAsia="仿宋_GB2312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颗粒化资源量（个）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微软雅黑"/>
                <w:szCs w:val="21"/>
              </w:rPr>
              <w:t>≥</w:t>
            </w:r>
            <w:r>
              <w:rPr>
                <w:rFonts w:eastAsia="仿宋_GB2312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质量指标</w:t>
            </w: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活跃资源占比（%）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微软雅黑"/>
                <w:szCs w:val="21"/>
              </w:rPr>
              <w:t>≥</w:t>
            </w:r>
            <w:r>
              <w:rPr>
                <w:rFonts w:eastAsia="仿宋_GB2312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活跃用户占比（%）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微软雅黑"/>
                <w:szCs w:val="21"/>
              </w:rPr>
              <w:t>≥</w:t>
            </w:r>
            <w:r>
              <w:rPr>
                <w:rFonts w:eastAsia="仿宋_GB2312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时效指标</w:t>
            </w: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建设任务完成及时率(%)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微软雅黑"/>
                <w:szCs w:val="21"/>
              </w:rPr>
              <w:t>≥</w:t>
            </w:r>
            <w:r>
              <w:rPr>
                <w:rFonts w:eastAsia="仿宋_GB2312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建设任务实际完成率（%）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微软雅黑"/>
                <w:szCs w:val="21"/>
              </w:rPr>
              <w:t>≥</w:t>
            </w:r>
            <w:r>
              <w:rPr>
                <w:rFonts w:eastAsia="仿宋_GB2312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成本指标</w:t>
            </w: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总成本（万元）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专家咨询和调研论证费（%）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微软雅黑"/>
                <w:szCs w:val="21"/>
              </w:rPr>
              <w:t>≤</w:t>
            </w:r>
            <w:r>
              <w:rPr>
                <w:rFonts w:eastAsia="仿宋_GB2312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其他支出占比（%）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微软雅黑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≤8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效益指标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pacing w:val="2"/>
                <w:w w:val="91"/>
                <w:kern w:val="0"/>
                <w:szCs w:val="21"/>
                <w:fitText w:val="1155" w:id="1"/>
              </w:rPr>
              <w:t>经</w:t>
            </w:r>
            <w:r>
              <w:rPr>
                <w:rFonts w:eastAsia="仿宋_GB2312"/>
                <w:w w:val="91"/>
                <w:kern w:val="0"/>
                <w:szCs w:val="21"/>
                <w:fitText w:val="1155" w:id="1"/>
              </w:rPr>
              <w:t>济效益指标</w:t>
            </w: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年均行业培训人天数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微软雅黑"/>
                <w:szCs w:val="21"/>
              </w:rPr>
              <w:t>≥</w:t>
            </w:r>
            <w:r>
              <w:rPr>
                <w:rFonts w:eastAsia="仿宋_GB2312"/>
                <w:szCs w:val="21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社会效益指标</w:t>
            </w: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金融专业学生就业对口率（%）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微软雅黑"/>
                <w:szCs w:val="21"/>
              </w:rPr>
              <w:t>≥</w:t>
            </w:r>
            <w:r>
              <w:rPr>
                <w:rFonts w:eastAsia="仿宋_GB2312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金融行业就业学生平均年薪中位数（万元）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微软雅黑"/>
                <w:szCs w:val="21"/>
              </w:rPr>
              <w:t>≥</w:t>
            </w:r>
            <w:r>
              <w:rPr>
                <w:rFonts w:eastAsia="仿宋_GB2312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生态效益指标</w:t>
            </w: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金融行业人才培养的社会认可度（%）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微软雅黑"/>
                <w:szCs w:val="21"/>
              </w:rPr>
              <w:t>≥</w:t>
            </w:r>
            <w:r>
              <w:rPr>
                <w:rFonts w:eastAsia="仿宋_GB2312"/>
                <w:szCs w:val="21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经济金融类专业毕业生个人信用记录优良率（%）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微软雅黑"/>
                <w:szCs w:val="21"/>
              </w:rPr>
              <w:t>≥</w:t>
            </w:r>
            <w:r>
              <w:rPr>
                <w:rFonts w:eastAsia="仿宋_GB2312"/>
                <w:szCs w:val="21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可持续影响</w:t>
            </w: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学生注册用户年增长数（人）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微软雅黑"/>
                <w:szCs w:val="21"/>
              </w:rPr>
              <w:t>≥</w:t>
            </w:r>
            <w:r>
              <w:rPr>
                <w:rFonts w:eastAsia="仿宋_GB2312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金融行业用人单位的持续认可度（%）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微软雅黑"/>
                <w:szCs w:val="21"/>
              </w:rPr>
              <w:t>≥</w:t>
            </w:r>
            <w:r>
              <w:rPr>
                <w:rFonts w:eastAsia="仿宋_GB2312"/>
                <w:szCs w:val="21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满意度指标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服务对象满意度指标</w:t>
            </w: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在校生使用满意度（%）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微软雅黑"/>
                <w:szCs w:val="21"/>
              </w:rPr>
              <w:t>≥</w:t>
            </w:r>
            <w:r>
              <w:rPr>
                <w:rFonts w:eastAsia="仿宋_GB2312"/>
                <w:szCs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社会学习者使用满意度（%）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微软雅黑"/>
                <w:szCs w:val="21"/>
              </w:rPr>
              <w:t>≥</w:t>
            </w:r>
            <w:r>
              <w:rPr>
                <w:rFonts w:eastAsia="仿宋_GB2312"/>
                <w:szCs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教师使用满意度（%）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微软雅黑"/>
                <w:szCs w:val="21"/>
              </w:rPr>
              <w:t>≥</w:t>
            </w:r>
            <w:r>
              <w:rPr>
                <w:rFonts w:eastAsia="仿宋_GB2312"/>
                <w:szCs w:val="21"/>
              </w:rPr>
              <w:t>95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9290E"/>
    <w:rsid w:val="470929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iPriority w:val="0"/>
  </w:style>
  <w:style w:type="paragraph" w:customStyle="1" w:styleId="6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2016-12-05T08:12:00Z</dcterms:created>
  <dc:creator>dell</dc:creator>
  <cp:lastModifiedBy>dell</cp:lastModifiedBy>
  <dcterms:modified xsi:type="dcterms:W3CDTF">2016-12-05T08:17:09Z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