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00" w:firstLineChars="200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附件</w:t>
      </w:r>
      <w:r>
        <w:rPr>
          <w:rFonts w:hint="eastAsia" w:eastAsia="仿宋_GB2312"/>
          <w:kern w:val="0"/>
          <w:sz w:val="30"/>
          <w:szCs w:val="30"/>
        </w:rPr>
        <w:t>1</w:t>
      </w:r>
    </w:p>
    <w:p>
      <w:pPr>
        <w:spacing w:line="560" w:lineRule="exact"/>
        <w:ind w:left="1260" w:hanging="1260" w:hangingChars="350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有关高等学校、地方政府、国有企业参会名单</w:t>
      </w:r>
    </w:p>
    <w:p>
      <w:pPr>
        <w:spacing w:line="640" w:lineRule="exact"/>
        <w:ind w:left="1050" w:hanging="1050" w:hangingChars="350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（排名不分先后）</w:t>
      </w:r>
    </w:p>
    <w:p>
      <w:pPr>
        <w:spacing w:line="640" w:lineRule="exact"/>
        <w:ind w:left="1260" w:hanging="1260" w:hangingChars="350"/>
        <w:jc w:val="center"/>
        <w:rPr>
          <w:rFonts w:hint="eastAsia" w:eastAsia="黑体"/>
          <w:kern w:val="0"/>
          <w:sz w:val="36"/>
          <w:szCs w:val="36"/>
        </w:rPr>
      </w:pPr>
    </w:p>
    <w:p>
      <w:pPr>
        <w:spacing w:line="54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一、高等学校（</w:t>
      </w:r>
      <w:r>
        <w:rPr>
          <w:rFonts w:hint="eastAsia" w:eastAsia="黑体"/>
          <w:sz w:val="30"/>
          <w:szCs w:val="30"/>
        </w:rPr>
        <w:t>41</w:t>
      </w:r>
      <w:r>
        <w:rPr>
          <w:rFonts w:hint="eastAsia" w:ascii="黑体" w:hAnsi="黑体" w:eastAsia="黑体"/>
          <w:sz w:val="30"/>
          <w:szCs w:val="30"/>
        </w:rPr>
        <w:t>家）</w:t>
      </w:r>
    </w:p>
    <w:p>
      <w:pPr>
        <w:widowControl/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北京大学、北京师范大学、北京交通大学、北京邮电大学、中国地质大学（北京）、中国传媒大学、中央美术学院、同济大学、华东理工大学、东华大学、江南大学、中国石油大学（华东）、华中科技大学、中国地质大学（武汉）、中南财经政法大学、重庆大学、四川大学、西南财经大学、西北农林科技大学、兰州大学、哈尔滨工业大学、西南民族大学、安徽科技学院、长沙学院、福建农林大学、广东工业大学、广东外语外贸大学、甘肃政法学院、贵州大学、河北科技大学、河南工学院、湖南商学院、江西师范大学、昆明理工大学、沈阳工业大学、苏州大学、西安邮电大学、浙江工业大学、青海畜牧兽医职业技术学院、山东商业职业技术学院、山东英才学院</w:t>
      </w:r>
    </w:p>
    <w:p>
      <w:pPr>
        <w:widowControl/>
        <w:spacing w:line="600" w:lineRule="exact"/>
        <w:ind w:firstLine="60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二、地方政府（</w:t>
      </w:r>
      <w:r>
        <w:rPr>
          <w:rFonts w:hint="eastAsia" w:eastAsia="黑体"/>
          <w:sz w:val="30"/>
          <w:szCs w:val="30"/>
        </w:rPr>
        <w:t>4</w:t>
      </w:r>
      <w:r>
        <w:rPr>
          <w:rFonts w:hint="eastAsia" w:ascii="黑体" w:hAnsi="黑体" w:eastAsia="黑体"/>
          <w:sz w:val="30"/>
          <w:szCs w:val="30"/>
        </w:rPr>
        <w:t>家）</w:t>
      </w:r>
    </w:p>
    <w:p>
      <w:pPr>
        <w:widowControl/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济南市历下区人民政府、辽源市人民政府、宁波经济技术开发区管理委员会、武夷山市人民政府</w:t>
      </w:r>
    </w:p>
    <w:p>
      <w:pPr>
        <w:spacing w:line="54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三、国有企业（</w:t>
      </w:r>
      <w:r>
        <w:rPr>
          <w:rFonts w:hint="eastAsia" w:eastAsia="黑体"/>
          <w:sz w:val="30"/>
          <w:szCs w:val="30"/>
        </w:rPr>
        <w:t>7</w:t>
      </w:r>
      <w:r>
        <w:rPr>
          <w:rFonts w:hint="eastAsia" w:ascii="黑体" w:hAnsi="黑体" w:eastAsia="黑体"/>
          <w:sz w:val="30"/>
          <w:szCs w:val="30"/>
        </w:rPr>
        <w:t>家）</w:t>
      </w:r>
    </w:p>
    <w:p>
      <w:r>
        <w:rPr>
          <w:rFonts w:hint="eastAsia" w:ascii="仿宋_GB2312" w:eastAsia="仿宋_GB2312"/>
          <w:color w:val="000000"/>
          <w:sz w:val="28"/>
          <w:szCs w:val="28"/>
        </w:rPr>
        <w:t>中国第一汽车集团公司、哈尔滨电气集团哈尔滨汽轮机厂有限责任公司、国网吉林省电力有限公司、中国石油辽河油田公司、中国林业集团国营雷州林业局、太极集团有限公司、云南省公路开发投资有限责任公司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04"/>
    <w:rsid w:val="00881916"/>
    <w:rsid w:val="008E5304"/>
    <w:rsid w:val="00AA5143"/>
    <w:rsid w:val="24152D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548</Characters>
  <Lines>4</Lines>
  <Paragraphs>1</Paragraphs>
  <ScaleCrop>false</ScaleCrop>
  <LinksUpToDate>false</LinksUpToDate>
  <CharactersWithSpaces>642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2016-12-28T10:15:00Z</dcterms:created>
  <dc:creator>sxjy</dc:creator>
  <cp:lastModifiedBy>dell</cp:lastModifiedBy>
  <dcterms:modified xsi:type="dcterms:W3CDTF">2016-12-29T03:04:25Z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