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附件7</w:t>
      </w:r>
    </w:p>
    <w:p>
      <w:pPr>
        <w:spacing w:line="560" w:lineRule="exact"/>
        <w:jc w:val="center"/>
        <w:rPr>
          <w:rFonts w:ascii="方正小标宋简体" w:hAnsi="Times New Roman" w:eastAsia="方正小标宋简体" w:cs="方正小标宋简体"/>
          <w:sz w:val="36"/>
          <w:szCs w:val="36"/>
        </w:rPr>
      </w:pPr>
      <w:r>
        <w:rPr>
          <w:rFonts w:ascii="方正小标宋简体" w:hAnsi="Times New Roman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年全国青少年校园足球教练员（中国足协</w:t>
      </w:r>
      <w:r>
        <w:rPr>
          <w:rFonts w:ascii="方正小标宋简体" w:hAnsi="Times New Roman" w:eastAsia="方正小标宋简体" w:cs="方正小标宋简体"/>
          <w:sz w:val="36"/>
          <w:szCs w:val="36"/>
        </w:rPr>
        <w:t>C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级</w:t>
      </w:r>
    </w:p>
    <w:p>
      <w:pPr>
        <w:spacing w:line="560" w:lineRule="exact"/>
        <w:jc w:val="center"/>
        <w:rPr>
          <w:rFonts w:ascii="方正小标宋简体" w:hAnsi="Times New Roman" w:eastAsia="方正小标宋简体" w:cs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教练员）国家级专项培训名额分配表</w:t>
      </w:r>
    </w:p>
    <w:tbl>
      <w:tblPr>
        <w:tblStyle w:val="2"/>
        <w:tblpPr w:leftFromText="180" w:rightFromText="180" w:vertAnchor="text" w:horzAnchor="page" w:tblpX="1134" w:tblpY="263"/>
        <w:tblOverlap w:val="never"/>
        <w:tblW w:w="991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95"/>
        <w:gridCol w:w="825"/>
        <w:gridCol w:w="1545"/>
        <w:gridCol w:w="240"/>
        <w:gridCol w:w="630"/>
        <w:gridCol w:w="2198"/>
        <w:gridCol w:w="742"/>
        <w:gridCol w:w="15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省市名称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培训人数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国家级校园足球特色学校数量（所）</w:t>
            </w:r>
          </w:p>
        </w:tc>
        <w:tc>
          <w:tcPr>
            <w:tcW w:w="240" w:type="dxa"/>
            <w:vMerge w:val="restart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省市名称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培训人数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国家级校园足球特色学校数量（所）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254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湖北省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天津市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247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湖南省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河北省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1271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1263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山西省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782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广西壮族自治区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内蒙古自治区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1222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辽宁省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1035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518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黑龙江省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553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贵州省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322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云南省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1716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西藏自治区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浙江省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666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陕西省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1116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甘肃省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福建省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762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青海省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江西省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785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宁夏回族自治区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山东省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1318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新疆维吾尔自治区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河南省</w:t>
            </w:r>
          </w:p>
        </w:tc>
        <w:tc>
          <w:tcPr>
            <w:tcW w:w="825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4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1740</w:t>
            </w:r>
          </w:p>
        </w:tc>
        <w:tc>
          <w:tcPr>
            <w:tcW w:w="240" w:type="dxa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生产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建设兵团</w:t>
            </w:r>
          </w:p>
        </w:tc>
        <w:tc>
          <w:tcPr>
            <w:tcW w:w="74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15" w:type="dxa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2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小计</w:t>
            </w: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14307</w:t>
            </w:r>
          </w:p>
        </w:tc>
        <w:tc>
          <w:tcPr>
            <w:tcW w:w="24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小计</w:t>
            </w:r>
          </w:p>
        </w:tc>
        <w:tc>
          <w:tcPr>
            <w:tcW w:w="219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9828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</w:t>
            </w:r>
          </w:p>
        </w:tc>
        <w:tc>
          <w:tcPr>
            <w:tcW w:w="93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1、培训名额根据各省市国家级校园足球特色学校数量进行分配；                                                                          2、具体分配原则：200所以下的分配2人，201-650所的分配4人，651-800所的分配6人，801-1200所的分配8人，1201所以上的分配10人；                                                                                                3、参加培训的教练员必须是国家级校园足球特色学校在职在编教练员（教师），取得D级教练员证书满12个月以上4年以内。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DhlODVhYWNhNTMwNGIyNmViZWEzYjU5ZjA4NjgifQ=="/>
  </w:docVars>
  <w:rsids>
    <w:rsidRoot w:val="00A1186F"/>
    <w:rsid w:val="009B0160"/>
    <w:rsid w:val="00A1186F"/>
    <w:rsid w:val="609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142</Words>
  <Characters>812</Characters>
  <Lines>6</Lines>
  <Paragraphs>1</Paragraphs>
  <TotalTime>0</TotalTime>
  <ScaleCrop>false</ScaleCrop>
  <LinksUpToDate>false</LinksUpToDate>
  <CharactersWithSpaces>953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2019-07-17T05:42:00Z</dcterms:created>
  <dc:creator>USER</dc:creator>
  <cp:lastModifiedBy>李慧军</cp:lastModifiedBy>
  <dcterms:modified xsi:type="dcterms:W3CDTF">2023-12-21T02:11:31Z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1BCB0950BF0C4D7497D0BF19DCCB0FB4_13</vt:lpwstr>
  </property>
</Properties>
</file>