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全国中小学科学教育实验</w:t>
      </w:r>
      <w:r>
        <w:rPr>
          <w:rFonts w:eastAsia="方正小标宋简体"/>
          <w:kern w:val="0"/>
          <w:sz w:val="44"/>
          <w:szCs w:val="44"/>
        </w:rPr>
        <w:t>校申报表</w:t>
      </w:r>
    </w:p>
    <w:p>
      <w:pPr>
        <w:spacing w:line="58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28"/>
          <w:szCs w:val="32"/>
        </w:rPr>
        <w:t>省（区、市）</w:t>
      </w:r>
      <w:r>
        <w:rPr>
          <w:rFonts w:hint="eastAsia" w:eastAsia="仿宋_GB2312"/>
          <w:bCs/>
          <w:kern w:val="0"/>
          <w:sz w:val="28"/>
          <w:szCs w:val="32"/>
          <w:lang w:eastAsia="zh-CN"/>
        </w:rPr>
        <w:t>、</w:t>
      </w:r>
      <w:r>
        <w:rPr>
          <w:rFonts w:hint="eastAsia" w:eastAsia="仿宋_GB2312"/>
          <w:bCs/>
          <w:kern w:val="0"/>
          <w:sz w:val="28"/>
          <w:szCs w:val="32"/>
          <w:lang w:val="en-US" w:eastAsia="zh-CN"/>
        </w:rPr>
        <w:t>兵团</w:t>
      </w:r>
      <w:r>
        <w:rPr>
          <w:rFonts w:eastAsia="仿宋_GB2312"/>
          <w:bCs/>
          <w:kern w:val="0"/>
          <w:sz w:val="28"/>
          <w:szCs w:val="32"/>
        </w:rPr>
        <w:t>：         地市</w:t>
      </w:r>
      <w:r>
        <w:rPr>
          <w:rFonts w:hint="eastAsia" w:eastAsia="仿宋_GB2312"/>
          <w:bCs/>
          <w:kern w:val="0"/>
          <w:sz w:val="28"/>
          <w:szCs w:val="32"/>
          <w:lang w:eastAsia="zh-CN"/>
        </w:rPr>
        <w:t>（</w:t>
      </w:r>
      <w:r>
        <w:rPr>
          <w:rFonts w:hint="eastAsia" w:eastAsia="仿宋_GB2312"/>
          <w:bCs/>
          <w:kern w:val="0"/>
          <w:sz w:val="28"/>
          <w:szCs w:val="32"/>
          <w:lang w:val="en-US" w:eastAsia="zh-CN"/>
        </w:rPr>
        <w:t>区县</w:t>
      </w:r>
      <w:r>
        <w:rPr>
          <w:rFonts w:hint="eastAsia" w:eastAsia="仿宋_GB2312"/>
          <w:bCs/>
          <w:kern w:val="0"/>
          <w:sz w:val="28"/>
          <w:szCs w:val="32"/>
          <w:lang w:eastAsia="zh-CN"/>
        </w:rPr>
        <w:t>）</w:t>
      </w:r>
      <w:r>
        <w:rPr>
          <w:rFonts w:eastAsia="仿宋_GB2312"/>
          <w:bCs/>
          <w:kern w:val="0"/>
          <w:sz w:val="28"/>
          <w:szCs w:val="32"/>
        </w:rPr>
        <w:t>：          学校</w:t>
      </w:r>
      <w:r>
        <w:rPr>
          <w:rFonts w:eastAsia="仿宋_GB2312"/>
          <w:bCs/>
          <w:kern w:val="0"/>
          <w:sz w:val="32"/>
          <w:szCs w:val="32"/>
        </w:rPr>
        <w:t>：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738"/>
        <w:gridCol w:w="1322"/>
        <w:gridCol w:w="1371"/>
        <w:gridCol w:w="1134"/>
        <w:gridCol w:w="329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地市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县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）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级教育行政部门联系人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left"/>
              <w:rPr>
                <w:rFonts w:hint="eastAsia" w:eastAsia="仿宋_GB2312"/>
                <w:b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姓名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：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校长</w:t>
            </w: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科学副校长</w:t>
            </w: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联系电话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电子信箱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3070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联合申报单位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（如无，可不填写）</w:t>
            </w:r>
          </w:p>
        </w:tc>
        <w:tc>
          <w:tcPr>
            <w:tcW w:w="7122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0192" w:type="dxa"/>
            <w:gridSpan w:val="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宋体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实验</w:t>
            </w:r>
            <w:r>
              <w:rPr>
                <w:b/>
                <w:color w:val="auto"/>
                <w:sz w:val="24"/>
              </w:rPr>
              <w:t>校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学校性质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（小学、初中、普通高中、9年一贯制学校、完全中学、12年一贯制学校）</w:t>
            </w: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学生数</w:t>
            </w:r>
          </w:p>
        </w:tc>
        <w:tc>
          <w:tcPr>
            <w:tcW w:w="132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教师总数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科学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类课程（科学、物理、化学、生物、地理、信息科技/信息技术、通用技术等）专任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教师和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专职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科技辅导员数</w:t>
            </w: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实验室数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33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3295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0192" w:type="dxa"/>
            <w:gridSpan w:val="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申报基础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911" w:hRule="atLeast"/>
          <w:jc w:val="center"/>
        </w:trPr>
        <w:tc>
          <w:tcPr>
            <w:tcW w:w="10192" w:type="dxa"/>
            <w:gridSpan w:val="6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概述近年来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学校科学教育工作的创新做法、特色亮点以及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取得的显著成效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。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（可附页并提供佐证材料）</w:t>
            </w: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7" w:hRule="atLeast"/>
          <w:jc w:val="center"/>
        </w:trPr>
        <w:tc>
          <w:tcPr>
            <w:tcW w:w="10192" w:type="dxa"/>
            <w:gridSpan w:val="6"/>
          </w:tcPr>
          <w:p>
            <w:pPr>
              <w:spacing w:line="520" w:lineRule="exact"/>
              <w:jc w:val="center"/>
              <w:rPr>
                <w:rFonts w:hint="default" w:eastAsia="仿宋_GB2312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申报特色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375" w:hRule="atLeast"/>
          <w:jc w:val="center"/>
        </w:trPr>
        <w:tc>
          <w:tcPr>
            <w:tcW w:w="10192" w:type="dxa"/>
            <w:gridSpan w:val="6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请从课程建设、课堂提质、实验教学、馆校结合、实践活动或其他方面，任选1—2项，重点阐述学校科学教育工作特色亮点、创新做法以及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取得的显著成效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。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（可附页并提供佐证材料）</w:t>
            </w: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0192" w:type="dxa"/>
            <w:gridSpan w:val="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b/>
                <w:color w:val="auto"/>
                <w:sz w:val="24"/>
              </w:rPr>
              <w:t>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614" w:hRule="atLeast"/>
          <w:jc w:val="center"/>
        </w:trPr>
        <w:tc>
          <w:tcPr>
            <w:tcW w:w="10192" w:type="dxa"/>
            <w:gridSpan w:val="6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概述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实验校建设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方案，包括：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建设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目标、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重点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任务、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推进举措、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组织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保障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等。（可附页）</w:t>
            </w:r>
          </w:p>
          <w:p>
            <w:pPr>
              <w:ind w:right="560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44" w:hRule="atLeast"/>
          <w:jc w:val="center"/>
        </w:trPr>
        <w:tc>
          <w:tcPr>
            <w:tcW w:w="10192" w:type="dxa"/>
            <w:gridSpan w:val="6"/>
            <w:vAlign w:val="center"/>
          </w:tcPr>
          <w:p>
            <w:pPr>
              <w:ind w:right="560"/>
              <w:jc w:val="center"/>
              <w:rPr>
                <w:rFonts w:hint="eastAsia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改革重点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15" w:hRule="atLeast"/>
          <w:jc w:val="center"/>
        </w:trPr>
        <w:tc>
          <w:tcPr>
            <w:tcW w:w="1019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80" w:firstLineChars="200"/>
              <w:jc w:val="both"/>
              <w:textAlignment w:val="auto"/>
              <w:rPr>
                <w:rFonts w:eastAsia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请从课程资源开发、教学方式变革、教育评价改革、教师队伍建设、场所场景构建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社会力量整合或其他方面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任选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1—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项，重点阐述拟采取的工作措施、拟破解的重点问题、拟取得的改革成效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eastAsia="zh-CN"/>
              </w:rPr>
              <w:t>。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（可附页）</w:t>
            </w:r>
            <w:r>
              <w:rPr>
                <w:rFonts w:eastAsia="仿宋_GB2312"/>
                <w:color w:val="auto"/>
                <w:sz w:val="28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 xml:space="preserve"> </w:t>
            </w: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 w:firstLine="5320" w:firstLineChars="1900"/>
              <w:jc w:val="both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负责人（签章）</w:t>
            </w: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</w:t>
            </w: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 xml:space="preserve">                   </w:t>
            </w:r>
            <w:r>
              <w:rPr>
                <w:rFonts w:eastAsia="仿宋_GB2312"/>
                <w:color w:val="auto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32" w:hRule="atLeast"/>
          <w:jc w:val="center"/>
        </w:trPr>
        <w:tc>
          <w:tcPr>
            <w:tcW w:w="10192" w:type="dxa"/>
            <w:gridSpan w:val="6"/>
            <w:vAlign w:val="center"/>
          </w:tcPr>
          <w:p>
            <w:pPr>
              <w:ind w:right="560"/>
              <w:jc w:val="center"/>
              <w:rPr>
                <w:rFonts w:hint="default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1"/>
                <w:lang w:val="en-US" w:eastAsia="zh-CN"/>
              </w:rPr>
              <w:t>本级教育行政部门意见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552" w:hRule="atLeast"/>
          <w:jc w:val="center"/>
        </w:trPr>
        <w:tc>
          <w:tcPr>
            <w:tcW w:w="10192" w:type="dxa"/>
            <w:gridSpan w:val="6"/>
          </w:tcPr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 w:firstLine="5320" w:firstLineChars="1900"/>
              <w:jc w:val="both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负责人（签章）</w:t>
            </w: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</w:t>
            </w: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 xml:space="preserve">                   </w:t>
            </w:r>
            <w:r>
              <w:rPr>
                <w:rFonts w:eastAsia="仿宋_GB2312"/>
                <w:color w:val="auto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10" w:hRule="atLeast"/>
          <w:jc w:val="center"/>
        </w:trPr>
        <w:tc>
          <w:tcPr>
            <w:tcW w:w="10192" w:type="dxa"/>
            <w:gridSpan w:val="6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b/>
                <w:color w:val="auto"/>
                <w:sz w:val="24"/>
                <w:szCs w:val="21"/>
              </w:rPr>
              <w:t>省级教育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1"/>
              </w:rPr>
              <w:t>行政部门推荐</w:t>
            </w:r>
            <w:r>
              <w:rPr>
                <w:b/>
                <w:color w:val="auto"/>
                <w:sz w:val="24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8" w:hRule="atLeast"/>
          <w:jc w:val="center"/>
        </w:trPr>
        <w:tc>
          <w:tcPr>
            <w:tcW w:w="10192" w:type="dxa"/>
            <w:gridSpan w:val="6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概述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0"/>
                <w:lang w:val="en-US" w:eastAsia="zh-CN"/>
              </w:rPr>
              <w:t>主要</w:t>
            </w: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推荐理由。</w:t>
            </w:r>
          </w:p>
          <w:p>
            <w:pPr>
              <w:spacing w:line="520" w:lineRule="exact"/>
              <w:rPr>
                <w:color w:val="auto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right="560"/>
              <w:jc w:val="both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6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color w:val="auto"/>
                <w:kern w:val="0"/>
                <w:sz w:val="24"/>
                <w:szCs w:val="20"/>
              </w:rPr>
            </w:pPr>
            <w:r>
              <w:rPr>
                <w:b/>
                <w:color w:val="auto"/>
                <w:sz w:val="24"/>
                <w:szCs w:val="21"/>
              </w:rPr>
              <w:t>省级教育行政部门对</w:t>
            </w:r>
            <w:r>
              <w:rPr>
                <w:rFonts w:hint="eastAsia"/>
                <w:b/>
                <w:color w:val="auto"/>
                <w:sz w:val="24"/>
                <w:szCs w:val="21"/>
                <w:lang w:val="en-US" w:eastAsia="zh-CN"/>
              </w:rPr>
              <w:t>实验校</w:t>
            </w:r>
            <w:r>
              <w:rPr>
                <w:b/>
                <w:color w:val="auto"/>
                <w:sz w:val="24"/>
                <w:szCs w:val="21"/>
              </w:rPr>
              <w:t>建设支持措施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10206" w:type="dxa"/>
            <w:gridSpan w:val="7"/>
          </w:tcPr>
          <w:p>
            <w:pPr>
              <w:spacing w:line="52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0"/>
              </w:rPr>
              <w:t>（可附页）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单位（盖章）                          </w:t>
            </w:r>
          </w:p>
          <w:p>
            <w:pPr>
              <w:ind w:right="560"/>
              <w:jc w:val="center"/>
              <w:rPr>
                <w:rFonts w:eastAsia="仿宋_GB2312"/>
                <w:color w:val="auto"/>
                <w:sz w:val="28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  负责人（签章）</w:t>
            </w:r>
          </w:p>
          <w:p>
            <w:pPr>
              <w:ind w:right="56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z w:val="28"/>
              </w:rPr>
              <w:t xml:space="preserve">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Y2EyNGNlNzZhOThmOTU3MzBmNzZjOGJlODdhMzgifQ=="/>
  </w:docVars>
  <w:rsids>
    <w:rsidRoot w:val="0D4D5864"/>
    <w:rsid w:val="001B176F"/>
    <w:rsid w:val="00B64138"/>
    <w:rsid w:val="05631529"/>
    <w:rsid w:val="06843FA6"/>
    <w:rsid w:val="07EB3B3F"/>
    <w:rsid w:val="09465C9A"/>
    <w:rsid w:val="0CC31C91"/>
    <w:rsid w:val="0D4D5864"/>
    <w:rsid w:val="10246D36"/>
    <w:rsid w:val="10E64DFF"/>
    <w:rsid w:val="11427136"/>
    <w:rsid w:val="12DC015B"/>
    <w:rsid w:val="150D30B4"/>
    <w:rsid w:val="1CC01338"/>
    <w:rsid w:val="1CDE5588"/>
    <w:rsid w:val="282F63C6"/>
    <w:rsid w:val="2E993CA0"/>
    <w:rsid w:val="32F06AFD"/>
    <w:rsid w:val="34B16279"/>
    <w:rsid w:val="43F30487"/>
    <w:rsid w:val="443A6BE3"/>
    <w:rsid w:val="455D5AEA"/>
    <w:rsid w:val="464F3DBE"/>
    <w:rsid w:val="47A14C13"/>
    <w:rsid w:val="4A0B564D"/>
    <w:rsid w:val="57EB0FC6"/>
    <w:rsid w:val="6F82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375</Words>
  <Characters>375</Characters>
  <Lines>4</Lines>
  <Paragraphs>1</Paragraphs>
  <TotalTime>19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2020-04-10T02:05:00Z</dcterms:created>
  <dc:creator>PR</dc:creator>
  <cp:lastModifiedBy>朱立城</cp:lastModifiedBy>
  <cp:lastPrinted>2023-11-15T01:05:00Z</cp:lastPrinted>
  <dcterms:modified xsi:type="dcterms:W3CDTF">2023-12-08T09:39:05Z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CF78B96714784B4384965B20664600CE_13</vt:lpwstr>
  </property>
</Properties>
</file>