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highlight w:val="none"/>
          <w:lang w:val="en-US" w:eastAsia="zh-CN"/>
        </w:rPr>
        <w:t>附件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28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b/>
          <w:sz w:val="28"/>
          <w:highlight w:val="none"/>
        </w:rPr>
        <w:t>中外合作办学机构信息表</w:t>
      </w:r>
      <w:r>
        <w:rPr>
          <w:rFonts w:hint="eastAsia" w:asciiTheme="majorEastAsia" w:hAnsiTheme="majorEastAsia" w:eastAsiaTheme="majorEastAsia"/>
          <w:b/>
          <w:sz w:val="28"/>
          <w:highlight w:val="none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28"/>
          <w:highlight w:val="none"/>
          <w:lang w:val="en-US" w:eastAsia="zh-CN"/>
        </w:rPr>
        <w:t>1930N</w:t>
      </w:r>
      <w:r>
        <w:rPr>
          <w:rFonts w:hint="eastAsia" w:asciiTheme="majorEastAsia" w:hAnsiTheme="majorEastAsia" w:eastAsiaTheme="majorEastAsia"/>
          <w:b/>
          <w:sz w:val="28"/>
          <w:highlight w:val="none"/>
          <w:lang w:eastAsia="zh-CN"/>
        </w:rPr>
        <w:t>）</w:t>
      </w:r>
    </w:p>
    <w:tbl>
      <w:tblPr>
        <w:tblStyle w:val="6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00000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000000"/>
                <w:szCs w:val="24"/>
                <w:highlight w:val="none"/>
                <w:lang w:eastAsia="zh-CN"/>
              </w:rPr>
              <w:t>天津音乐学院茱莉亚研究院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  <w:highlight w:val="none"/>
              </w:rPr>
              <w:t>（英文：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Cs w:val="24"/>
                <w:highlight w:val="none"/>
                <w:lang w:val="en-US" w:eastAsia="zh-CN"/>
              </w:rPr>
              <w:t>Tianjin Conservatory of Music Juilliard Graduate School</w:t>
            </w:r>
            <w:r>
              <w:rPr>
                <w:rFonts w:ascii="Times New Roman" w:cs="Times New Roman" w:hAnsiTheme="minorEastAsia" w:eastAsiaTheme="minorEastAsia"/>
                <w:color w:val="000000"/>
                <w:szCs w:val="24"/>
                <w:highlight w:val="none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机构住所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天津市滨海新区于家堡金融区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徐昌俊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中外合作办学者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天津音乐学院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徐昌俊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外方：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Cs w:val="24"/>
                <w:highlight w:val="none"/>
                <w:lang w:val="en-US" w:eastAsia="zh-CN"/>
              </w:rPr>
              <w:t>The Juilliard School, USA</w:t>
            </w:r>
          </w:p>
          <w:p>
            <w:pPr>
              <w:spacing w:after="0" w:line="220" w:lineRule="atLeast"/>
              <w:ind w:firstLine="660" w:firstLineChars="300"/>
              <w:jc w:val="both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color w:val="000000"/>
                <w:szCs w:val="24"/>
                <w:highlight w:val="none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000000"/>
                <w:szCs w:val="24"/>
                <w:highlight w:val="none"/>
                <w:lang w:eastAsia="zh-CN"/>
              </w:rPr>
              <w:t>美国茱莉亚学院</w:t>
            </w:r>
            <w:r>
              <w:rPr>
                <w:rFonts w:ascii="Times New Roman" w:cs="Times New Roman" w:hAnsiTheme="minorEastAsia" w:eastAsiaTheme="minorEastAsia"/>
                <w:color w:val="000000"/>
                <w:szCs w:val="24"/>
                <w:highlight w:val="none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硕士研究生学历教育；外国硕士学位教育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办学规模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在校生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240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。硕士研究生学历教育：每年1期，每期招生人数1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人（在天津音乐学院年度招生规模内统筹安排）；外国硕士学位教育：每年1期，每期招生人数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  <w:t>110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人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  <w:t>—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年（每年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1期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 xml:space="preserve">硕士研究生学历教育：纳入国家硕士研究生招生计划，并按照全国统一的研究生招生政策开展招生（从天津音乐学院当年录取硕士入学新生中选拔）； 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外国硕士学位教育：参加天津音乐学院茱莉亚研究院组织的招生考试（招生标准不低于茱莉亚学院同类专业在美国的标准）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eastAsia="zh-CN"/>
              </w:rPr>
              <w:t>管弦乐表演、室内乐表演、钢琴艺术指导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  <w:t>中方：硕士研究生学历教育：硕士研究生学历证书、硕士学位证书； 外国硕士学位教育：无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  <w:t>Master of Music（音乐硕士学位证书）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 xml:space="preserve">MOE12US01A20181930N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sz w:val="24"/>
                <w:szCs w:val="24"/>
                <w:highlight w:val="none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2038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月</w:t>
            </w:r>
            <w:r>
              <w:rPr>
                <w:rFonts w:hint="eastAsia" w:ascii="Times New Roman" w:cs="Times New Roman" w:hAnsiTheme="minorEastAsia" w:eastAsiaTheme="minorEastAsia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ascii="Times New Roman" w:cs="Times New Roman" w:hAnsiTheme="minorEastAsia" w:eastAsiaTheme="minorEastAsia"/>
                <w:szCs w:val="24"/>
                <w:highlight w:val="none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2018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11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736A8"/>
    <w:rsid w:val="0D401318"/>
    <w:rsid w:val="0F92210A"/>
    <w:rsid w:val="11AA03B4"/>
    <w:rsid w:val="15A17A65"/>
    <w:rsid w:val="188C4B23"/>
    <w:rsid w:val="227C75E8"/>
    <w:rsid w:val="2A0E4EA3"/>
    <w:rsid w:val="307F1D94"/>
    <w:rsid w:val="33990C73"/>
    <w:rsid w:val="364C62A6"/>
    <w:rsid w:val="388A281C"/>
    <w:rsid w:val="40924F8E"/>
    <w:rsid w:val="4B2E6254"/>
    <w:rsid w:val="50C82E59"/>
    <w:rsid w:val="597C332C"/>
    <w:rsid w:val="622F10A2"/>
    <w:rsid w:val="7FFD1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358</TotalTime>
  <ScaleCrop>false</ScaleCrop>
  <LinksUpToDate>false</LinksUpToDate>
  <CharactersWithSpaces>1687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Sue</cp:lastModifiedBy>
  <cp:lastPrinted>2018-10-24T09:01:00Z</cp:lastPrinted>
  <dcterms:modified xsi:type="dcterms:W3CDTF">2018-11-22T06:10:19Z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